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2" w14:textId="573963FF" w:rsidR="00271DE7" w:rsidRPr="007B1E8A" w:rsidRDefault="00281B0B">
      <w:pPr>
        <w:keepNext/>
        <w:pBdr>
          <w:top w:val="nil"/>
          <w:left w:val="nil"/>
          <w:bottom w:val="nil"/>
          <w:right w:val="nil"/>
          <w:between w:val="nil"/>
        </w:pBdr>
        <w:spacing w:before="120" w:after="240" w:line="240" w:lineRule="auto"/>
        <w:rPr>
          <w:rFonts w:ascii="Arial" w:eastAsia="Arial" w:hAnsi="Arial" w:cs="Arial"/>
          <w:b/>
          <w:i/>
          <w:iCs/>
          <w:sz w:val="24"/>
          <w:szCs w:val="24"/>
          <w:highlight w:val="yellow"/>
        </w:rPr>
      </w:pPr>
      <w:r w:rsidRPr="007B1E8A">
        <w:rPr>
          <w:rFonts w:ascii="Arial" w:eastAsia="Arial" w:hAnsi="Arial" w:cs="Arial"/>
          <w:b/>
          <w:i/>
          <w:iCs/>
          <w:sz w:val="24"/>
          <w:szCs w:val="24"/>
          <w:highlight w:val="yellow"/>
        </w:rPr>
        <w:t xml:space="preserve">[Guidance: the Buyer will be the Controller, and the Supplier the Processor in the vast majority of cases. If you believe another data processing scenario applies, such as the Parties being Joint or Independent Controllers, you </w:t>
      </w:r>
      <w:r w:rsidRPr="007B1E8A">
        <w:rPr>
          <w:rFonts w:ascii="Arial" w:eastAsia="Arial" w:hAnsi="Arial" w:cs="Arial"/>
          <w:b/>
          <w:i/>
          <w:iCs/>
          <w:sz w:val="24"/>
          <w:szCs w:val="24"/>
          <w:highlight w:val="yellow"/>
          <w:u w:val="single"/>
        </w:rPr>
        <w:t xml:space="preserve">must </w:t>
      </w:r>
      <w:r w:rsidRPr="007B1E8A">
        <w:rPr>
          <w:rFonts w:ascii="Arial" w:eastAsia="Arial" w:hAnsi="Arial" w:cs="Arial"/>
          <w:b/>
          <w:i/>
          <w:iCs/>
          <w:sz w:val="24"/>
          <w:szCs w:val="24"/>
          <w:highlight w:val="yellow"/>
        </w:rPr>
        <w:t>speak to your data protection team or DPO. Making the Supplier a Controller over Buyer information can create risks for you as a Buyer, and you must make sure you understand the consequences of this.]</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467E82B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acknowledge that for the purposes of the Data Protection Legislation, the nature of the activity carried out by each of them in relation to their respective obligations under </w:t>
      </w:r>
      <w:r w:rsidR="000045BD">
        <w:rPr>
          <w:rFonts w:ascii="Arial" w:eastAsia="Arial" w:hAnsi="Arial" w:cs="Arial"/>
          <w:color w:val="000000"/>
          <w:sz w:val="24"/>
          <w:szCs w:val="24"/>
        </w:rPr>
        <w:t>the</w:t>
      </w:r>
      <w:r>
        <w:rPr>
          <w:rFonts w:ascii="Arial" w:eastAsia="Arial" w:hAnsi="Arial" w:cs="Arial"/>
          <w:color w:val="000000"/>
          <w:sz w:val="24"/>
          <w:szCs w:val="24"/>
        </w:rPr>
        <w:t xml:space="preserve">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0FC2C5A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2F19DE9"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w:t>
      </w:r>
      <w:r w:rsidR="000045BD">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434E4167"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t>ensure that it has in place Protective Measures, including in the case of the Supplier the measures set out in Clause 18.4</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FA7B6A6"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w:t>
      </w:r>
      <w:r w:rsidR="00E81DDD">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subject to appropriate confidentiality undertakings with the Processor or any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w:t>
      </w:r>
    </w:p>
    <w:p w14:paraId="0000001F" w14:textId="1BF17BAD"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w:t>
      </w:r>
      <w:r w:rsidR="00E81DDD">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73380BB2"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w:t>
      </w:r>
      <w:r w:rsidR="006E2BB9">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sidRPr="00D54C6E">
        <w:rPr>
          <w:rFonts w:ascii="Arial" w:eastAsia="Arial" w:hAnsi="Arial" w:cs="Arial"/>
          <w:color w:val="000000"/>
          <w:sz w:val="24"/>
          <w:szCs w:val="24"/>
        </w:rPr>
        <w:t xml:space="preserve"> unless the Processor is required by Law to retain the Personal Data.</w:t>
      </w:r>
    </w:p>
    <w:p w14:paraId="00000033" w14:textId="0A62BC2B"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Pr>
          <w:rFonts w:ascii="Arial" w:eastAsia="Arial" w:hAnsi="Arial" w:cs="Arial"/>
          <w:color w:val="000000"/>
          <w:sz w:val="24"/>
          <w:szCs w:val="24"/>
        </w:rPr>
        <w:t xml:space="preserve">, the Processor shall notify the Controller immediately if in relation to it Processing Personal Data under or in connection with </w:t>
      </w:r>
      <w:r w:rsidR="00AC431B">
        <w:rPr>
          <w:rFonts w:ascii="Arial" w:eastAsia="Arial" w:hAnsi="Arial" w:cs="Arial"/>
          <w:color w:val="000000"/>
          <w:sz w:val="24"/>
          <w:szCs w:val="24"/>
        </w:rPr>
        <w:t>th</w:t>
      </w:r>
      <w:r w:rsidR="006E2BB9">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534717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w:t>
      </w:r>
      <w:r w:rsidR="006E2BB9">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07B17C42"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Pr>
          <w:rFonts w:ascii="Arial" w:eastAsia="Arial" w:hAnsi="Arial" w:cs="Arial"/>
          <w:color w:val="000000"/>
          <w:sz w:val="24"/>
          <w:szCs w:val="24"/>
        </w:rPr>
        <w:t xml:space="preserve"> include</w:t>
      </w:r>
      <w:r w:rsidR="00D03A1F">
        <w:rPr>
          <w:rFonts w:ascii="Arial" w:eastAsia="Arial" w:hAnsi="Arial" w:cs="Arial"/>
          <w:color w:val="000000"/>
          <w:sz w:val="24"/>
          <w:szCs w:val="24"/>
        </w:rPr>
        <w:t>s</w:t>
      </w:r>
      <w:r>
        <w:rPr>
          <w:rFonts w:ascii="Arial" w:eastAsia="Arial" w:hAnsi="Arial" w:cs="Arial"/>
          <w:color w:val="000000"/>
          <w:sz w:val="24"/>
          <w:szCs w:val="24"/>
        </w:rPr>
        <w:t xml:space="preserve"> the provision of further information to the Controller, as details become available.</w:t>
      </w:r>
      <w:bookmarkEnd w:id="23"/>
      <w:r>
        <w:rPr>
          <w:rFonts w:ascii="Arial" w:eastAsia="Arial" w:hAnsi="Arial" w:cs="Arial"/>
          <w:color w:val="000000"/>
          <w:sz w:val="24"/>
          <w:szCs w:val="24"/>
        </w:rPr>
        <w:t xml:space="preserve"> </w:t>
      </w:r>
    </w:p>
    <w:p w14:paraId="0000003B" w14:textId="0963C8C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61A7C97C"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maintain complete and accurate records and information to demonstrate its compliance with this Schedule 20. This requirement does not apply where the Processor employs fewer than 250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Before allowing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notify the Controller in writing of the intended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enter into a written agreement with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which gives effect to the terms set out in this Schedule 20 such that they apply to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provide the Controller with such information regarding the </w:t>
      </w:r>
      <w:proofErr w:type="spellStart"/>
      <w:r w:rsidRPr="00D54C6E">
        <w:rPr>
          <w:rFonts w:ascii="Arial" w:eastAsia="Arial" w:hAnsi="Arial" w:cs="Arial"/>
          <w:color w:val="000000"/>
          <w:sz w:val="24"/>
          <w:szCs w:val="24"/>
        </w:rPr>
        <w:t>Subprocessor</w:t>
      </w:r>
      <w:proofErr w:type="spellEnd"/>
      <w:r w:rsidRPr="00D54C6E">
        <w:rPr>
          <w:rFonts w:ascii="Arial" w:eastAsia="Arial" w:hAnsi="Arial" w:cs="Arial"/>
          <w:color w:val="000000"/>
          <w:sz w:val="24"/>
          <w:szCs w:val="24"/>
        </w:rPr>
        <w:t xml:space="preserve">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remain fully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14:paraId="0000004E" w14:textId="318CB8C5"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w:t>
      </w:r>
      <w:r w:rsidR="00972BEC">
        <w:rPr>
          <w:rFonts w:ascii="Arial" w:eastAsia="Arial" w:hAnsi="Arial" w:cs="Arial"/>
          <w:color w:val="000000"/>
          <w:sz w:val="24"/>
          <w:szCs w:val="24"/>
        </w:rPr>
        <w:t>shall</w:t>
      </w:r>
      <w:r>
        <w:rPr>
          <w:rFonts w:ascii="Arial" w:eastAsia="Arial" w:hAnsi="Arial" w:cs="Arial"/>
          <w:color w:val="000000"/>
          <w:sz w:val="24"/>
          <w:szCs w:val="24"/>
        </w:rPr>
        <w:t xml:space="preserve"> take account of any guidance issued by the Information Commissioner’s Office or any other regulatory authority. The Buyer may on not less than 30 Working Days’ notice to the Supplier amend </w:t>
      </w:r>
      <w:r w:rsidR="00AC431B">
        <w:rPr>
          <w:rFonts w:ascii="Arial" w:eastAsia="Arial" w:hAnsi="Arial" w:cs="Arial"/>
          <w:color w:val="000000"/>
          <w:sz w:val="24"/>
          <w:szCs w:val="24"/>
        </w:rPr>
        <w:t>th</w:t>
      </w:r>
      <w:r w:rsidR="00972BEC">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3382554F"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I</w:t>
      </w:r>
      <w:r w:rsidR="00454903">
        <w:rPr>
          <w:rFonts w:ascii="Arial" w:eastAsia="Arial" w:hAnsi="Arial" w:cs="Arial"/>
          <w:color w:val="000000"/>
          <w:sz w:val="24"/>
          <w:szCs w:val="24"/>
        </w:rPr>
        <w:t>f</w:t>
      </w:r>
      <w:r>
        <w:rPr>
          <w:rFonts w:ascii="Arial" w:eastAsia="Arial" w:hAnsi="Arial" w:cs="Arial"/>
          <w:color w:val="000000"/>
          <w:sz w:val="24"/>
          <w:szCs w:val="24"/>
        </w:rPr>
        <w:t xml:space="preserve"> the Parties are Joint Controllers in respect of Personal Data under </w:t>
      </w:r>
      <w:r w:rsidR="00AC431B">
        <w:rPr>
          <w:rFonts w:ascii="Arial" w:eastAsia="Arial" w:hAnsi="Arial" w:cs="Arial"/>
          <w:color w:val="000000"/>
          <w:sz w:val="24"/>
          <w:szCs w:val="24"/>
        </w:rPr>
        <w:t>th</w:t>
      </w:r>
      <w:r w:rsidR="00F64FBE">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w:t>
      </w:r>
      <w:r w:rsidR="00AD17B0">
        <w:rPr>
          <w:rFonts w:ascii="Arial" w:eastAsia="Arial" w:hAnsi="Arial" w:cs="Arial"/>
          <w:color w:val="000000"/>
          <w:sz w:val="24"/>
          <w:szCs w:val="24"/>
        </w:rPr>
        <w:t>0</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5655CFE0"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the recipient of the Personal Data will provide all such relevant documents and information relating to its data protection policies and procedures as the other Party may reasonably require.</w:t>
      </w:r>
    </w:p>
    <w:p w14:paraId="00000055" w14:textId="5856B712"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w:t>
      </w:r>
      <w:r w:rsidR="00E60EDA">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393B0BC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w:t>
      </w:r>
      <w:r w:rsidR="00AD17B0">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09246934"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w:t>
      </w:r>
      <w:r w:rsidR="00731926">
        <w:rPr>
          <w:rFonts w:ascii="Arial" w:eastAsia="Arial" w:hAnsi="Arial" w:cs="Arial"/>
          <w:color w:val="000000"/>
          <w:sz w:val="24"/>
          <w:szCs w:val="24"/>
        </w:rPr>
        <w:t xml:space="preserve"> </w:t>
      </w:r>
      <w:r w:rsidRPr="00D54C6E">
        <w:rPr>
          <w:rFonts w:ascii="Arial" w:eastAsia="Arial" w:hAnsi="Arial" w:cs="Arial"/>
          <w:color w:val="000000"/>
          <w:sz w:val="24"/>
          <w:szCs w:val="24"/>
        </w:rPr>
        <w:t>(1)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238B27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291945B2"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w:t>
      </w:r>
      <w:r w:rsidR="00F117B6">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on reasonable request.</w:t>
      </w:r>
    </w:p>
    <w:p w14:paraId="0000006E" w14:textId="3EDC2E1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w:t>
      </w:r>
      <w:r w:rsidR="00B73AC9">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4993781C"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4A9E30BA"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5 Working Days of receipt of the request or correspondence, inform the other Party that it has received the same and shall forward such request or correspondence to the other Party; and</w:t>
      </w:r>
    </w:p>
    <w:p w14:paraId="00000072" w14:textId="3C66C00C" w:rsidR="00271DE7" w:rsidRDefault="00281B0B" w:rsidP="00E0519E">
      <w:pPr>
        <w:numPr>
          <w:ilvl w:val="3"/>
          <w:numId w:val="1"/>
        </w:numPr>
        <w:pBdr>
          <w:top w:val="nil"/>
          <w:left w:val="nil"/>
          <w:bottom w:val="nil"/>
          <w:right w:val="nil"/>
          <w:between w:val="nil"/>
        </w:pBdr>
        <w:spacing w:before="120" w:after="120" w:line="240" w:lineRule="auto"/>
        <w:ind w:left="2609" w:hanging="851"/>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053F9B1E"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w:t>
      </w:r>
      <w:r w:rsidR="00B73AC9">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96359C">
      <w:pPr>
        <w:numPr>
          <w:ilvl w:val="2"/>
          <w:numId w:val="1"/>
        </w:numPr>
        <w:pBdr>
          <w:top w:val="nil"/>
          <w:left w:val="nil"/>
          <w:bottom w:val="nil"/>
          <w:right w:val="nil"/>
          <w:between w:val="nil"/>
        </w:pBdr>
        <w:spacing w:before="120" w:after="120" w:line="240" w:lineRule="auto"/>
        <w:ind w:left="1758" w:hanging="851"/>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1DB273E8"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w:t>
      </w:r>
      <w:r w:rsidR="00B73AC9">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725637A"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w:t>
      </w:r>
      <w:r w:rsidR="00B73AC9">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13E4CEE3"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w:t>
      </w:r>
      <w:bookmarkEnd w:id="30"/>
    </w:p>
    <w:p w14:paraId="6B1965D6" w14:textId="69E9304B" w:rsidR="00AD57D1" w:rsidRDefault="009F7488" w:rsidP="00AD57D1">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Processing for law enforcement purposes</w:t>
      </w:r>
      <w:r w:rsidR="00AD57D1">
        <w:rPr>
          <w:rFonts w:ascii="Arial" w:eastAsia="Arial" w:hAnsi="Arial" w:cs="Arial"/>
          <w:b/>
          <w:color w:val="000000"/>
          <w:sz w:val="24"/>
          <w:szCs w:val="24"/>
        </w:rPr>
        <w:t xml:space="preserve"> </w:t>
      </w:r>
    </w:p>
    <w:p w14:paraId="5A44402C" w14:textId="38CD7185" w:rsidR="00E375E0" w:rsidRPr="0051331C" w:rsidRDefault="00E375E0" w:rsidP="0096359C">
      <w:pPr>
        <w:pStyle w:val="Part"/>
        <w:rPr>
          <w:b w:val="0"/>
          <w:bCs/>
          <w:sz w:val="24"/>
          <w:szCs w:val="24"/>
        </w:rPr>
      </w:pPr>
      <w:r w:rsidRPr="0051331C">
        <w:rPr>
          <w:b w:val="0"/>
          <w:bCs/>
          <w:sz w:val="24"/>
          <w:szCs w:val="24"/>
        </w:rPr>
        <w:t>In relation to Law Enforcement P</w:t>
      </w:r>
      <w:r w:rsidR="00C23AD6">
        <w:rPr>
          <w:b w:val="0"/>
          <w:bCs/>
          <w:sz w:val="24"/>
          <w:szCs w:val="24"/>
        </w:rPr>
        <w:t>rocessing</w:t>
      </w:r>
      <w:r w:rsidRPr="0051331C">
        <w:rPr>
          <w:b w:val="0"/>
          <w:bCs/>
          <w:sz w:val="24"/>
          <w:szCs w:val="24"/>
        </w:rPr>
        <w:t>, the Supplier shall:</w:t>
      </w:r>
    </w:p>
    <w:p w14:paraId="58A4A8A2" w14:textId="7F2DB5A8" w:rsidR="00E375E0" w:rsidRPr="0096359C" w:rsidRDefault="00E375E0" w:rsidP="004777F5">
      <w:pPr>
        <w:pStyle w:val="ScheduleTitleClause"/>
        <w:spacing w:before="120" w:after="120" w:line="240" w:lineRule="auto"/>
        <w:ind w:left="1758" w:hanging="851"/>
        <w:jc w:val="left"/>
        <w:rPr>
          <w:b w:val="0"/>
          <w:bCs/>
          <w:sz w:val="24"/>
          <w:szCs w:val="24"/>
        </w:rPr>
      </w:pPr>
      <w:r w:rsidRPr="0096359C">
        <w:rPr>
          <w:b w:val="0"/>
          <w:bCs/>
          <w:sz w:val="24"/>
          <w:szCs w:val="24"/>
        </w:rPr>
        <w:t>maintain logs for its automated Processing operations in respect of:</w:t>
      </w:r>
    </w:p>
    <w:p w14:paraId="5A90DBB5" w14:textId="77777777" w:rsidR="00E0519E" w:rsidRDefault="00E375E0" w:rsidP="004777F5">
      <w:pPr>
        <w:pStyle w:val="ScheduleUntitledsubclause1"/>
        <w:spacing w:before="120" w:line="240" w:lineRule="auto"/>
        <w:ind w:left="2609" w:hanging="851"/>
        <w:jc w:val="left"/>
      </w:pPr>
      <w:r w:rsidRPr="0051331C">
        <w:t>collection;</w:t>
      </w:r>
    </w:p>
    <w:p w14:paraId="17506D71" w14:textId="77777777" w:rsidR="00E0519E" w:rsidRPr="00E0519E" w:rsidRDefault="00E375E0" w:rsidP="00E0519E">
      <w:pPr>
        <w:pStyle w:val="ScheduleUntitledsubclause1"/>
        <w:spacing w:before="120" w:line="240" w:lineRule="auto"/>
        <w:ind w:left="2609" w:hanging="851"/>
        <w:jc w:val="left"/>
      </w:pPr>
      <w:r w:rsidRPr="00E0519E">
        <w:rPr>
          <w:sz w:val="24"/>
          <w:szCs w:val="24"/>
        </w:rPr>
        <w:t>alteration;</w:t>
      </w:r>
    </w:p>
    <w:p w14:paraId="09B9DBD2" w14:textId="77777777" w:rsidR="00E0519E" w:rsidRPr="00E0519E" w:rsidRDefault="00E375E0" w:rsidP="00E0519E">
      <w:pPr>
        <w:pStyle w:val="ScheduleUntitledsubclause1"/>
        <w:spacing w:before="120" w:line="240" w:lineRule="auto"/>
        <w:ind w:left="2609" w:hanging="851"/>
        <w:jc w:val="left"/>
      </w:pPr>
      <w:r w:rsidRPr="00E0519E">
        <w:rPr>
          <w:sz w:val="24"/>
          <w:szCs w:val="24"/>
        </w:rPr>
        <w:t>consultation;</w:t>
      </w:r>
    </w:p>
    <w:p w14:paraId="1D600F62" w14:textId="77777777" w:rsidR="00E0519E" w:rsidRPr="00E0519E" w:rsidRDefault="00E375E0" w:rsidP="00E0519E">
      <w:pPr>
        <w:pStyle w:val="ScheduleUntitledsubclause1"/>
        <w:spacing w:before="120" w:line="240" w:lineRule="auto"/>
        <w:ind w:left="2609" w:hanging="851"/>
        <w:jc w:val="left"/>
      </w:pPr>
      <w:r w:rsidRPr="00E0519E">
        <w:rPr>
          <w:sz w:val="24"/>
          <w:szCs w:val="24"/>
        </w:rPr>
        <w:t>disclosure (including transfers);</w:t>
      </w:r>
    </w:p>
    <w:p w14:paraId="5861A681" w14:textId="77777777" w:rsidR="00E0519E" w:rsidRPr="00E0519E" w:rsidRDefault="00E375E0" w:rsidP="00E0519E">
      <w:pPr>
        <w:pStyle w:val="ScheduleUntitledsubclause1"/>
        <w:spacing w:before="120" w:line="240" w:lineRule="auto"/>
        <w:ind w:left="2609" w:hanging="851"/>
        <w:jc w:val="left"/>
      </w:pPr>
      <w:r w:rsidRPr="00E0519E">
        <w:rPr>
          <w:sz w:val="24"/>
          <w:szCs w:val="24"/>
        </w:rPr>
        <w:t>combination; and</w:t>
      </w:r>
    </w:p>
    <w:p w14:paraId="4D8C27A0" w14:textId="17AE53E6" w:rsidR="00E375E0" w:rsidRPr="00E0519E" w:rsidRDefault="00E375E0" w:rsidP="00E0519E">
      <w:pPr>
        <w:pStyle w:val="ScheduleUntitledsubclause1"/>
        <w:spacing w:before="120" w:line="240" w:lineRule="auto"/>
        <w:ind w:left="2609" w:hanging="851"/>
        <w:jc w:val="left"/>
      </w:pPr>
      <w:r w:rsidRPr="00E0519E">
        <w:rPr>
          <w:sz w:val="24"/>
          <w:szCs w:val="24"/>
        </w:rPr>
        <w:t>erasure</w:t>
      </w:r>
    </w:p>
    <w:p w14:paraId="61CBB1A5" w14:textId="15D55CC0" w:rsidR="00E375E0" w:rsidRPr="0051331C" w:rsidRDefault="00E0519E" w:rsidP="00E0519E">
      <w:pPr>
        <w:pStyle w:val="Body123"/>
        <w:numPr>
          <w:ilvl w:val="0"/>
          <w:numId w:val="0"/>
        </w:numPr>
        <w:spacing w:before="120" w:after="120"/>
        <w:ind w:left="1758" w:hanging="851"/>
        <w:jc w:val="left"/>
        <w:rPr>
          <w:sz w:val="24"/>
          <w:szCs w:val="24"/>
        </w:rPr>
      </w:pPr>
      <w:r>
        <w:rPr>
          <w:sz w:val="24"/>
          <w:szCs w:val="24"/>
        </w:rPr>
        <w:tab/>
      </w:r>
      <w:r w:rsidR="00E375E0" w:rsidRPr="0051331C">
        <w:rPr>
          <w:sz w:val="24"/>
          <w:szCs w:val="24"/>
        </w:rPr>
        <w:t>(together the “</w:t>
      </w:r>
      <w:r w:rsidR="00E375E0" w:rsidRPr="0051331C">
        <w:rPr>
          <w:b/>
          <w:sz w:val="24"/>
          <w:szCs w:val="24"/>
        </w:rPr>
        <w:t>Logs</w:t>
      </w:r>
      <w:r w:rsidR="00E375E0" w:rsidRPr="0051331C">
        <w:rPr>
          <w:sz w:val="24"/>
          <w:szCs w:val="24"/>
        </w:rPr>
        <w:t>”)</w:t>
      </w:r>
      <w:r w:rsidR="00C61771">
        <w:rPr>
          <w:sz w:val="24"/>
          <w:szCs w:val="24"/>
        </w:rPr>
        <w:t>;</w:t>
      </w:r>
    </w:p>
    <w:p w14:paraId="5E6AF29D" w14:textId="77777777" w:rsidR="00E375E0" w:rsidRPr="0051331C" w:rsidRDefault="00E375E0" w:rsidP="0096359C">
      <w:pPr>
        <w:pStyle w:val="MRHeading3"/>
        <w:numPr>
          <w:ilvl w:val="0"/>
          <w:numId w:val="0"/>
        </w:numPr>
        <w:spacing w:before="0" w:line="240" w:lineRule="auto"/>
        <w:ind w:left="1440"/>
        <w:jc w:val="left"/>
        <w:rPr>
          <w:rFonts w:cs="Arial"/>
          <w:color w:val="000000"/>
          <w:sz w:val="24"/>
          <w:szCs w:val="24"/>
        </w:rPr>
      </w:pPr>
    </w:p>
    <w:p w14:paraId="47EA4B8C" w14:textId="75971E68" w:rsidR="00E375E0" w:rsidRPr="004777F5" w:rsidRDefault="00E375E0" w:rsidP="00EF0654">
      <w:pPr>
        <w:pStyle w:val="ScheduleTitleClause"/>
        <w:spacing w:before="120" w:after="120" w:line="240" w:lineRule="auto"/>
        <w:ind w:left="1758" w:hanging="851"/>
        <w:jc w:val="left"/>
        <w:rPr>
          <w:b w:val="0"/>
          <w:bCs/>
          <w:sz w:val="24"/>
          <w:szCs w:val="24"/>
        </w:rPr>
      </w:pPr>
      <w:r w:rsidRPr="004777F5">
        <w:rPr>
          <w:b w:val="0"/>
          <w:bCs/>
          <w:sz w:val="24"/>
          <w:szCs w:val="24"/>
        </w:rPr>
        <w:t>ensure that:</w:t>
      </w:r>
    </w:p>
    <w:p w14:paraId="66C1D0DA" w14:textId="05762EFB" w:rsidR="004777F5" w:rsidRDefault="00E375E0" w:rsidP="00EF0654">
      <w:pPr>
        <w:pStyle w:val="ScheduleUntitledsubclause1"/>
        <w:spacing w:before="120" w:line="240" w:lineRule="auto"/>
        <w:ind w:left="2609" w:hanging="851"/>
        <w:jc w:val="left"/>
      </w:pPr>
      <w:r w:rsidRPr="0051331C">
        <w:t>the Logs of consultation make it possible to establish the justification for, and date and time of, the consultation; and as far as possible, the identity of the person who consulted the data;</w:t>
      </w:r>
    </w:p>
    <w:p w14:paraId="226338E6" w14:textId="7F602326" w:rsidR="00E375E0" w:rsidRPr="0051331C" w:rsidRDefault="00E375E0" w:rsidP="00EF0654">
      <w:pPr>
        <w:pStyle w:val="ScheduleUntitledsubclause1"/>
        <w:spacing w:before="120" w:line="240" w:lineRule="auto"/>
        <w:ind w:left="2609" w:hanging="851"/>
        <w:jc w:val="left"/>
      </w:pPr>
      <w:r w:rsidRPr="0051331C">
        <w:t>the Logs of disclosure make it possible to establish the justification for, and date and time of, the disclosure; and the identity of the recipients of the data; and</w:t>
      </w:r>
    </w:p>
    <w:p w14:paraId="071615F3" w14:textId="18E7ED8C" w:rsidR="00E375E0" w:rsidRPr="0051331C" w:rsidRDefault="00E375E0" w:rsidP="00EF0654">
      <w:pPr>
        <w:pStyle w:val="ScheduleUntitledsubclause1"/>
        <w:spacing w:before="120" w:line="240" w:lineRule="auto"/>
        <w:ind w:left="2609" w:hanging="851"/>
        <w:jc w:val="left"/>
      </w:pPr>
      <w:r w:rsidRPr="0051331C">
        <w:t>the Logs are made available to the I</w:t>
      </w:r>
      <w:r w:rsidR="00EF0654">
        <w:t>nformation Commissioner</w:t>
      </w:r>
      <w:r w:rsidRPr="0051331C">
        <w:t xml:space="preserve"> on request</w:t>
      </w:r>
    </w:p>
    <w:p w14:paraId="4D9735C3" w14:textId="77777777" w:rsidR="00E375E0" w:rsidRPr="00EF0654" w:rsidRDefault="00E375E0" w:rsidP="00EF0654">
      <w:pPr>
        <w:pStyle w:val="ScheduleTitleClause"/>
        <w:spacing w:before="120" w:after="120" w:line="240" w:lineRule="auto"/>
        <w:ind w:left="1758" w:hanging="851"/>
        <w:jc w:val="left"/>
        <w:rPr>
          <w:b w:val="0"/>
          <w:bCs/>
          <w:sz w:val="24"/>
          <w:szCs w:val="24"/>
        </w:rPr>
      </w:pPr>
      <w:r w:rsidRPr="00EF0654">
        <w:rPr>
          <w:b w:val="0"/>
          <w:bCs/>
          <w:sz w:val="24"/>
          <w:szCs w:val="24"/>
        </w:rPr>
        <w:t>use the Logs only to:</w:t>
      </w:r>
    </w:p>
    <w:p w14:paraId="5082110E" w14:textId="135830A6" w:rsidR="00E375E0" w:rsidRPr="00706833" w:rsidRDefault="00E375E0" w:rsidP="00706833">
      <w:pPr>
        <w:pStyle w:val="ScheduleUntitledsubclause1"/>
        <w:spacing w:before="120" w:line="240" w:lineRule="auto"/>
        <w:ind w:left="2609" w:hanging="851"/>
        <w:jc w:val="left"/>
        <w:rPr>
          <w:sz w:val="24"/>
          <w:szCs w:val="24"/>
        </w:rPr>
      </w:pPr>
      <w:r w:rsidRPr="00706833">
        <w:rPr>
          <w:sz w:val="24"/>
          <w:szCs w:val="24"/>
        </w:rPr>
        <w:t>verify the lawfulness of Processing;</w:t>
      </w:r>
    </w:p>
    <w:p w14:paraId="14DA45E4" w14:textId="6F786434" w:rsidR="00E375E0" w:rsidRPr="00706833" w:rsidRDefault="00E375E0" w:rsidP="00706833">
      <w:pPr>
        <w:pStyle w:val="ScheduleUntitledsubclause1"/>
        <w:spacing w:before="120" w:line="240" w:lineRule="auto"/>
        <w:ind w:left="2609" w:hanging="851"/>
        <w:jc w:val="left"/>
        <w:rPr>
          <w:sz w:val="24"/>
          <w:szCs w:val="24"/>
        </w:rPr>
      </w:pPr>
      <w:r w:rsidRPr="00706833">
        <w:rPr>
          <w:sz w:val="24"/>
          <w:szCs w:val="24"/>
        </w:rPr>
        <w:t>assist with self-monitoring by the Authority or (as the case may be) the Supplier, including the conduct of internal disciplinary proceedings;</w:t>
      </w:r>
    </w:p>
    <w:p w14:paraId="7124C0D5" w14:textId="06300EF3" w:rsidR="00E375E0" w:rsidRPr="00706833" w:rsidRDefault="00E375E0" w:rsidP="00706833">
      <w:pPr>
        <w:pStyle w:val="ScheduleUntitledsubclause1"/>
        <w:spacing w:before="120" w:line="240" w:lineRule="auto"/>
        <w:ind w:left="2609" w:hanging="851"/>
        <w:jc w:val="left"/>
        <w:rPr>
          <w:sz w:val="24"/>
          <w:szCs w:val="24"/>
        </w:rPr>
      </w:pPr>
      <w:r w:rsidRPr="00706833">
        <w:rPr>
          <w:sz w:val="24"/>
          <w:szCs w:val="24"/>
        </w:rPr>
        <w:t>ensure the integrity of Personal Data; and</w:t>
      </w:r>
    </w:p>
    <w:p w14:paraId="5884B7D4" w14:textId="62EF588F" w:rsidR="00E375E0" w:rsidRPr="00706833" w:rsidRDefault="00E375E0" w:rsidP="00706833">
      <w:pPr>
        <w:pStyle w:val="ScheduleUntitledsubclause1"/>
        <w:spacing w:before="120" w:line="240" w:lineRule="auto"/>
        <w:ind w:left="2609" w:hanging="851"/>
        <w:jc w:val="left"/>
        <w:rPr>
          <w:sz w:val="24"/>
          <w:szCs w:val="24"/>
        </w:rPr>
      </w:pPr>
      <w:r w:rsidRPr="00706833">
        <w:rPr>
          <w:sz w:val="24"/>
          <w:szCs w:val="24"/>
        </w:rPr>
        <w:t>assist with criminal proceedings</w:t>
      </w:r>
    </w:p>
    <w:p w14:paraId="20FCF783" w14:textId="77777777" w:rsidR="00E375E0" w:rsidRPr="00706833" w:rsidRDefault="00E375E0" w:rsidP="00706833">
      <w:pPr>
        <w:pStyle w:val="ScheduleTitleClause"/>
        <w:spacing w:before="120" w:after="120" w:line="240" w:lineRule="auto"/>
        <w:ind w:left="1758" w:hanging="851"/>
        <w:jc w:val="left"/>
        <w:rPr>
          <w:b w:val="0"/>
          <w:bCs/>
          <w:sz w:val="24"/>
          <w:szCs w:val="24"/>
        </w:rPr>
      </w:pPr>
      <w:r w:rsidRPr="00706833">
        <w:rPr>
          <w:b w:val="0"/>
          <w:bCs/>
          <w:sz w:val="24"/>
          <w:szCs w:val="24"/>
        </w:rPr>
        <w:t>as far as possible, distinguish between Personal Data based on fact and Personal Data based on personal assessments; and</w:t>
      </w:r>
    </w:p>
    <w:p w14:paraId="3910F80C" w14:textId="77777777" w:rsidR="00E375E0" w:rsidRPr="008E78A5" w:rsidRDefault="00E375E0" w:rsidP="008E78A5">
      <w:pPr>
        <w:pStyle w:val="ScheduleTitleClause"/>
        <w:spacing w:before="120" w:after="120" w:line="240" w:lineRule="auto"/>
        <w:ind w:left="1758" w:hanging="851"/>
        <w:jc w:val="left"/>
        <w:rPr>
          <w:b w:val="0"/>
          <w:bCs/>
          <w:sz w:val="24"/>
          <w:szCs w:val="24"/>
        </w:rPr>
      </w:pPr>
      <w:r w:rsidRPr="008E78A5">
        <w:rPr>
          <w:b w:val="0"/>
          <w:bCs/>
          <w:sz w:val="24"/>
          <w:szCs w:val="24"/>
        </w:rPr>
        <w:t>where relevant and as far as possible, maintain a clear distinction between Personal Data relating to different categories of Data Subject, for example:</w:t>
      </w:r>
    </w:p>
    <w:p w14:paraId="7B302848" w14:textId="168F9A28" w:rsidR="00E375E0" w:rsidRPr="00AB32B1" w:rsidRDefault="00E375E0" w:rsidP="00AB32B1">
      <w:pPr>
        <w:pStyle w:val="ScheduleUntitledsubclause1"/>
        <w:spacing w:before="120" w:line="240" w:lineRule="auto"/>
        <w:ind w:left="2609" w:hanging="851"/>
        <w:jc w:val="left"/>
        <w:rPr>
          <w:sz w:val="24"/>
          <w:szCs w:val="24"/>
        </w:rPr>
      </w:pPr>
      <w:r w:rsidRPr="00AB32B1">
        <w:rPr>
          <w:sz w:val="24"/>
          <w:szCs w:val="24"/>
        </w:rPr>
        <w:t>persons suspected of having committed or being about to commit a criminal offence;</w:t>
      </w:r>
    </w:p>
    <w:p w14:paraId="15E209E6" w14:textId="527936A7" w:rsidR="00E375E0" w:rsidRPr="00AB32B1" w:rsidRDefault="00E375E0" w:rsidP="00AB32B1">
      <w:pPr>
        <w:pStyle w:val="ScheduleUntitledsubclause1"/>
        <w:spacing w:before="120" w:line="240" w:lineRule="auto"/>
        <w:ind w:left="2609" w:hanging="851"/>
        <w:jc w:val="left"/>
        <w:rPr>
          <w:sz w:val="24"/>
          <w:szCs w:val="24"/>
        </w:rPr>
      </w:pPr>
      <w:r w:rsidRPr="00AB32B1">
        <w:rPr>
          <w:sz w:val="24"/>
          <w:szCs w:val="24"/>
        </w:rPr>
        <w:t>persons convicted of a criminal offence;</w:t>
      </w:r>
    </w:p>
    <w:p w14:paraId="45963334" w14:textId="71818E20" w:rsidR="00E375E0" w:rsidRPr="00AB32B1" w:rsidRDefault="00E375E0" w:rsidP="00AB32B1">
      <w:pPr>
        <w:pStyle w:val="ScheduleUntitledsubclause1"/>
        <w:spacing w:before="120" w:line="240" w:lineRule="auto"/>
        <w:ind w:left="2609" w:hanging="851"/>
        <w:jc w:val="left"/>
        <w:rPr>
          <w:sz w:val="24"/>
          <w:szCs w:val="24"/>
        </w:rPr>
      </w:pPr>
      <w:r w:rsidRPr="00AB32B1">
        <w:rPr>
          <w:sz w:val="24"/>
          <w:szCs w:val="24"/>
        </w:rPr>
        <w:t>persons who are or maybe victims of a criminal offence; and</w:t>
      </w:r>
    </w:p>
    <w:p w14:paraId="1620E04C" w14:textId="59C145A1" w:rsidR="00E375E0" w:rsidRPr="00AB32B1" w:rsidRDefault="00E375E0" w:rsidP="00AB32B1">
      <w:pPr>
        <w:pStyle w:val="ScheduleUntitledsubclause1"/>
        <w:spacing w:before="120" w:line="240" w:lineRule="auto"/>
        <w:ind w:left="2609" w:hanging="851"/>
        <w:jc w:val="left"/>
        <w:rPr>
          <w:sz w:val="24"/>
          <w:szCs w:val="24"/>
        </w:rPr>
      </w:pPr>
      <w:r w:rsidRPr="00AB32B1">
        <w:rPr>
          <w:sz w:val="24"/>
          <w:szCs w:val="24"/>
        </w:rPr>
        <w:t>witnesses or other persons with information about offences.</w:t>
      </w:r>
    </w:p>
    <w:p w14:paraId="0000007B" w14:textId="334F8DF1" w:rsidR="00271DE7" w:rsidRPr="0051331C" w:rsidRDefault="00271DE7" w:rsidP="0096359C">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381F3D76"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w:t>
      </w:r>
      <w:r w:rsidR="0004087F">
        <w:rPr>
          <w:rFonts w:ascii="Arial" w:eastAsia="Arial" w:hAnsi="Arial" w:cs="Arial"/>
          <w:color w:val="000000"/>
          <w:sz w:val="24"/>
          <w:szCs w:val="24"/>
        </w:rPr>
        <w:t>i</w:t>
      </w:r>
      <w:r w:rsidR="004B54D4">
        <w:rPr>
          <w:rFonts w:ascii="Arial" w:eastAsia="Arial" w:hAnsi="Arial" w:cs="Arial"/>
          <w:color w:val="000000"/>
          <w:sz w:val="24"/>
          <w:szCs w:val="24"/>
        </w:rPr>
        <w:t>s</w:t>
      </w:r>
      <w:r w:rsidRPr="00D54C6E">
        <w:rPr>
          <w:rFonts w:ascii="Arial" w:eastAsia="Arial" w:hAnsi="Arial" w:cs="Arial"/>
          <w:color w:val="000000"/>
          <w:sz w:val="24"/>
          <w:szCs w:val="24"/>
        </w:rPr>
        <w:t xml:space="preserve"> with the Buyer at its absolute discretion.  </w:t>
      </w:r>
    </w:p>
    <w:p w14:paraId="0000007E" w14:textId="74AAF56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Buyer’s Data Protection Officer are: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w:t>
      </w:r>
      <w:r>
        <w:rPr>
          <w:rFonts w:ascii="Arial" w:eastAsia="Arial" w:hAnsi="Arial" w:cs="Arial"/>
          <w:color w:val="000000"/>
          <w:sz w:val="24"/>
          <w:szCs w:val="24"/>
          <w:highlight w:val="yellow"/>
        </w:rPr>
        <w:t>Contact details]</w:t>
      </w:r>
    </w:p>
    <w:p w14:paraId="0000007F" w14:textId="17B1CD71"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w:t>
      </w:r>
      <w:r>
        <w:rPr>
          <w:rFonts w:ascii="Arial" w:eastAsia="Arial" w:hAnsi="Arial" w:cs="Arial"/>
          <w:color w:val="000000"/>
          <w:sz w:val="24"/>
          <w:szCs w:val="24"/>
          <w:highlight w:val="yellow"/>
        </w:rPr>
        <w:t>Contact details]</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1" w14:textId="6401AED1"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Any such further instructions shall be incorporated into this Annex.</w:t>
      </w:r>
    </w:p>
    <w:p w14:paraId="00000082" w14:textId="3B6967D9" w:rsidR="00271DE7" w:rsidRPr="007B1E8A" w:rsidRDefault="00281B0B">
      <w:pPr>
        <w:keepNext/>
        <w:spacing w:before="120" w:after="240" w:line="240" w:lineRule="auto"/>
        <w:rPr>
          <w:rFonts w:ascii="Arial" w:eastAsia="Arial" w:hAnsi="Arial" w:cs="Arial"/>
          <w:b/>
          <w:i/>
          <w:iCs/>
          <w:sz w:val="24"/>
          <w:szCs w:val="24"/>
        </w:rPr>
      </w:pPr>
      <w:bookmarkStart w:id="32" w:name="_heading=h.gjdgxs" w:colFirst="0" w:colLast="0"/>
      <w:bookmarkEnd w:id="32"/>
      <w:r w:rsidRPr="007B1E8A">
        <w:rPr>
          <w:rFonts w:ascii="Arial" w:eastAsia="Arial" w:hAnsi="Arial" w:cs="Arial"/>
          <w:b/>
          <w:i/>
          <w:iCs/>
          <w:sz w:val="24"/>
          <w:szCs w:val="24"/>
          <w:highlight w:val="yellow"/>
        </w:rPr>
        <w:t xml:space="preserve">[Guidance: the Buyer will be the Controller, and the Supplier the Processor in the vast majority of cases. If you believe another data processing scenario applies, such as the Parties being Joint or Independent Controllers, you </w:t>
      </w:r>
      <w:r w:rsidRPr="007B1E8A">
        <w:rPr>
          <w:rFonts w:ascii="Arial" w:eastAsia="Arial" w:hAnsi="Arial" w:cs="Arial"/>
          <w:b/>
          <w:i/>
          <w:iCs/>
          <w:sz w:val="24"/>
          <w:szCs w:val="24"/>
          <w:highlight w:val="yellow"/>
          <w:u w:val="single"/>
        </w:rPr>
        <w:t xml:space="preserve">must </w:t>
      </w:r>
      <w:r w:rsidRPr="007B1E8A">
        <w:rPr>
          <w:rFonts w:ascii="Arial" w:eastAsia="Arial" w:hAnsi="Arial" w:cs="Arial"/>
          <w:b/>
          <w:i/>
          <w:iCs/>
          <w:sz w:val="24"/>
          <w:szCs w:val="24"/>
          <w:highlight w:val="yellow"/>
        </w:rPr>
        <w:t>speak to your data protection team or DPO.]</w:t>
      </w:r>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003B53E5">
        <w:trPr>
          <w:trHeight w:val="700"/>
          <w:tblHeader/>
        </w:trPr>
        <w:tc>
          <w:tcPr>
            <w:tcW w:w="2263"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Buyer is Controller and the Supplier is Processor</w:t>
            </w:r>
          </w:p>
          <w:p w14:paraId="00000087" w14:textId="493DD94F"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in accordance with Paragraph 2 and for the purposes of the Data Protection Legislation, the Buyer is the Controller and the Supplier is the Processor of the following Personal Data:</w:t>
            </w:r>
          </w:p>
          <w:p w14:paraId="00000088" w14:textId="6CB2E9E9" w:rsidR="00271DE7" w:rsidRPr="007B1E8A" w:rsidRDefault="00281B0B" w:rsidP="003B53E5">
            <w:pPr>
              <w:numPr>
                <w:ilvl w:val="0"/>
                <w:numId w:val="7"/>
              </w:numPr>
              <w:pBdr>
                <w:top w:val="nil"/>
                <w:left w:val="nil"/>
                <w:bottom w:val="nil"/>
                <w:right w:val="nil"/>
                <w:between w:val="nil"/>
              </w:pBdr>
              <w:spacing w:before="120" w:after="120"/>
              <w:ind w:left="714" w:hanging="357"/>
              <w:rPr>
                <w:rFonts w:ascii="Arial" w:eastAsia="Arial" w:hAnsi="Arial" w:cs="Arial"/>
                <w:bCs/>
                <w:iCs/>
                <w:sz w:val="24"/>
                <w:szCs w:val="24"/>
              </w:rPr>
            </w:pPr>
            <w:r w:rsidRPr="007B1E8A">
              <w:rPr>
                <w:rFonts w:ascii="Arial" w:eastAsia="Arial" w:hAnsi="Arial" w:cs="Arial"/>
                <w:b/>
                <w:iCs/>
                <w:sz w:val="24"/>
                <w:szCs w:val="24"/>
                <w:highlight w:val="yellow"/>
              </w:rPr>
              <w:t>[Insert</w:t>
            </w:r>
            <w:r w:rsidRPr="007B1E8A">
              <w:rPr>
                <w:rFonts w:ascii="Arial" w:eastAsia="Arial" w:hAnsi="Arial" w:cs="Arial"/>
                <w:bCs/>
                <w:iCs/>
                <w:sz w:val="24"/>
                <w:szCs w:val="24"/>
                <w:highlight w:val="yellow"/>
              </w:rPr>
              <w:t xml:space="preserve"> the scope of Personal Data which the purposes and means of the Processing by the Supplier is determined by the Buyer]</w:t>
            </w:r>
          </w:p>
          <w:p w14:paraId="0000008A" w14:textId="0737B09D"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Supplier is Controller and the Buyer is Processor</w:t>
            </w:r>
          </w:p>
          <w:p w14:paraId="0000008B" w14:textId="2D642CC5"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for the purposes of the Data Protection Legislation, the Supplier is the Controller and the Buyer is the Processor in accordance with Paragraph</w:t>
            </w:r>
            <w:r w:rsidR="003B53E5">
              <w:rPr>
                <w:rFonts w:ascii="Arial" w:eastAsia="Arial" w:hAnsi="Arial" w:cs="Arial"/>
                <w:sz w:val="24"/>
                <w:szCs w:val="24"/>
              </w:rPr>
              <w:t xml:space="preserve"> </w:t>
            </w:r>
            <w:r>
              <w:rPr>
                <w:rFonts w:ascii="Arial" w:eastAsia="Arial" w:hAnsi="Arial" w:cs="Arial"/>
                <w:sz w:val="24"/>
                <w:szCs w:val="24"/>
              </w:rPr>
              <w:t>2 of the following Personal Data:</w:t>
            </w:r>
          </w:p>
          <w:p w14:paraId="0000008C" w14:textId="7D6EB512" w:rsidR="00271DE7" w:rsidRPr="007B1E8A" w:rsidRDefault="00281B0B" w:rsidP="003B53E5">
            <w:pPr>
              <w:numPr>
                <w:ilvl w:val="0"/>
                <w:numId w:val="7"/>
              </w:numPr>
              <w:pBdr>
                <w:top w:val="nil"/>
                <w:left w:val="nil"/>
                <w:bottom w:val="nil"/>
                <w:right w:val="nil"/>
                <w:between w:val="nil"/>
              </w:pBdr>
              <w:spacing w:before="120" w:after="120"/>
              <w:rPr>
                <w:rFonts w:ascii="Arial" w:eastAsia="Arial" w:hAnsi="Arial" w:cs="Arial"/>
                <w:iCs/>
                <w:sz w:val="24"/>
                <w:szCs w:val="24"/>
              </w:rPr>
            </w:pPr>
            <w:r w:rsidRPr="007B1E8A">
              <w:rPr>
                <w:rFonts w:ascii="Arial" w:eastAsia="Arial" w:hAnsi="Arial" w:cs="Arial"/>
                <w:b/>
                <w:iCs/>
                <w:sz w:val="24"/>
                <w:szCs w:val="24"/>
                <w:highlight w:val="yellow"/>
              </w:rPr>
              <w:t xml:space="preserve">[Insert </w:t>
            </w:r>
            <w:r w:rsidRPr="007B1E8A">
              <w:rPr>
                <w:rFonts w:ascii="Arial" w:eastAsia="Arial" w:hAnsi="Arial" w:cs="Arial"/>
                <w:bCs/>
                <w:iCs/>
                <w:sz w:val="24"/>
                <w:szCs w:val="24"/>
                <w:highlight w:val="yellow"/>
              </w:rPr>
              <w:t>the scope of Personal Data which the purposes and means of the Processing by the Buyer is determined by the Supplier]</w:t>
            </w:r>
          </w:p>
          <w:p w14:paraId="0000008E" w14:textId="64AC5301"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Parties are Joint Controllers</w:t>
            </w:r>
          </w:p>
          <w:p w14:paraId="0000008F" w14:textId="3EBCD206"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they are Joint Controllers for the purposes of the Data Protection Legislation in respect of:</w:t>
            </w:r>
          </w:p>
          <w:p w14:paraId="00000090" w14:textId="0996E695" w:rsidR="00271DE7" w:rsidRPr="007B1E8A" w:rsidRDefault="00281B0B" w:rsidP="003B53E5">
            <w:pPr>
              <w:numPr>
                <w:ilvl w:val="0"/>
                <w:numId w:val="7"/>
              </w:numPr>
              <w:pBdr>
                <w:top w:val="nil"/>
                <w:left w:val="nil"/>
                <w:bottom w:val="nil"/>
                <w:right w:val="nil"/>
                <w:between w:val="nil"/>
              </w:pBdr>
              <w:spacing w:before="120" w:after="120"/>
              <w:rPr>
                <w:rFonts w:ascii="Arial" w:eastAsia="Arial" w:hAnsi="Arial" w:cs="Arial"/>
                <w:b/>
                <w:iCs/>
                <w:sz w:val="24"/>
                <w:szCs w:val="24"/>
                <w:highlight w:val="yellow"/>
              </w:rPr>
            </w:pPr>
            <w:r w:rsidRPr="007B1E8A">
              <w:rPr>
                <w:rFonts w:ascii="Arial" w:eastAsia="Arial" w:hAnsi="Arial" w:cs="Arial"/>
                <w:b/>
                <w:iCs/>
                <w:sz w:val="24"/>
                <w:szCs w:val="24"/>
                <w:highlight w:val="yellow"/>
              </w:rPr>
              <w:t xml:space="preserve">[Insert </w:t>
            </w:r>
            <w:r w:rsidRPr="007B1E8A">
              <w:rPr>
                <w:rFonts w:ascii="Arial" w:eastAsia="Arial" w:hAnsi="Arial" w:cs="Arial"/>
                <w:bCs/>
                <w:iCs/>
                <w:sz w:val="24"/>
                <w:szCs w:val="24"/>
                <w:highlight w:val="yellow"/>
              </w:rPr>
              <w:t>the scope of Personal Data which the purposes and means of the Processing is determined by the both Parties together]</w:t>
            </w:r>
          </w:p>
          <w:p w14:paraId="00000092" w14:textId="07FDC4EE"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Parties are Independent Controllers of Personal Data</w:t>
            </w:r>
          </w:p>
          <w:p w14:paraId="00000093" w14:textId="01597F72"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00000094" w14:textId="56EF3F2E" w:rsidR="00271DE7" w:rsidRPr="003B53E5" w:rsidRDefault="00281B0B" w:rsidP="003B53E5">
            <w:pPr>
              <w:numPr>
                <w:ilvl w:val="0"/>
                <w:numId w:val="8"/>
              </w:numPr>
              <w:pBdr>
                <w:top w:val="nil"/>
                <w:left w:val="nil"/>
                <w:bottom w:val="nil"/>
                <w:right w:val="nil"/>
                <w:between w:val="nil"/>
              </w:pBdr>
              <w:spacing w:before="120" w:after="120"/>
              <w:rPr>
                <w:rFonts w:ascii="Arial" w:eastAsia="Arial" w:hAnsi="Arial" w:cs="Arial"/>
                <w:iCs/>
                <w:sz w:val="24"/>
                <w:szCs w:val="24"/>
              </w:rPr>
            </w:pPr>
            <w:r>
              <w:rPr>
                <w:rFonts w:ascii="Arial" w:eastAsia="Arial" w:hAnsi="Arial" w:cs="Arial"/>
                <w:sz w:val="24"/>
                <w:szCs w:val="24"/>
              </w:rPr>
              <w:t>Personally identifiable information</w:t>
            </w:r>
            <w:r>
              <w:rPr>
                <w:rFonts w:ascii="Arial" w:eastAsia="Arial" w:hAnsi="Arial" w:cs="Arial"/>
                <w:i/>
                <w:sz w:val="24"/>
                <w:szCs w:val="24"/>
              </w:rPr>
              <w:t xml:space="preserve"> of </w:t>
            </w:r>
            <w:r w:rsidRPr="003B53E5">
              <w:rPr>
                <w:rFonts w:ascii="Arial" w:eastAsia="Arial" w:hAnsi="Arial" w:cs="Arial"/>
                <w:iCs/>
                <w:sz w:val="24"/>
                <w:szCs w:val="24"/>
              </w:rPr>
              <w:t>Supplier Personnel for which the Supplier is the Controller,</w:t>
            </w:r>
          </w:p>
          <w:p w14:paraId="00000095" w14:textId="11C4F8D3" w:rsidR="00271DE7" w:rsidRPr="003B53E5" w:rsidRDefault="00281B0B" w:rsidP="003B53E5">
            <w:pPr>
              <w:numPr>
                <w:ilvl w:val="0"/>
                <w:numId w:val="8"/>
              </w:numPr>
              <w:pBdr>
                <w:top w:val="nil"/>
                <w:left w:val="nil"/>
                <w:bottom w:val="nil"/>
                <w:right w:val="nil"/>
                <w:between w:val="nil"/>
              </w:pBdr>
              <w:spacing w:before="120" w:after="120"/>
              <w:rPr>
                <w:rFonts w:ascii="Arial" w:eastAsia="Arial" w:hAnsi="Arial" w:cs="Arial"/>
                <w:iCs/>
                <w:sz w:val="24"/>
                <w:szCs w:val="24"/>
              </w:rPr>
            </w:pPr>
            <w:r w:rsidRPr="003B53E5">
              <w:rPr>
                <w:rFonts w:ascii="Arial" w:eastAsia="Arial" w:hAnsi="Arial" w:cs="Arial"/>
                <w:iCs/>
                <w:sz w:val="24"/>
                <w:szCs w:val="24"/>
              </w:rPr>
              <w:t xml:space="preserve">Personally identifiable information of any directors, officers, employees, agents, consultants and contractors of Buyer (excluding the Supplier Personnel) engaged in the performance of the Buyer’s duties under </w:t>
            </w:r>
            <w:r w:rsidR="00AC431B">
              <w:rPr>
                <w:rFonts w:ascii="Arial" w:eastAsia="Arial" w:hAnsi="Arial" w:cs="Arial"/>
                <w:iCs/>
                <w:sz w:val="24"/>
                <w:szCs w:val="24"/>
              </w:rPr>
              <w:t>th</w:t>
            </w:r>
            <w:r w:rsidR="00A56BBD">
              <w:rPr>
                <w:rFonts w:ascii="Arial" w:eastAsia="Arial" w:hAnsi="Arial" w:cs="Arial"/>
                <w:iCs/>
                <w:sz w:val="24"/>
                <w:szCs w:val="24"/>
              </w:rPr>
              <w:t>e</w:t>
            </w:r>
            <w:r w:rsidR="00AC431B">
              <w:rPr>
                <w:rFonts w:ascii="Arial" w:eastAsia="Arial" w:hAnsi="Arial" w:cs="Arial"/>
                <w:iCs/>
                <w:sz w:val="24"/>
                <w:szCs w:val="24"/>
              </w:rPr>
              <w:t xml:space="preserve"> Contract</w:t>
            </w:r>
            <w:r w:rsidRPr="003B53E5">
              <w:rPr>
                <w:rFonts w:ascii="Arial" w:eastAsia="Arial" w:hAnsi="Arial" w:cs="Arial"/>
                <w:iCs/>
                <w:sz w:val="24"/>
                <w:szCs w:val="24"/>
              </w:rPr>
              <w:t>) for which the Buyer is the Controller,</w:t>
            </w:r>
          </w:p>
          <w:p w14:paraId="00000096" w14:textId="126253DC" w:rsidR="00271DE7" w:rsidRDefault="00281B0B" w:rsidP="003B53E5">
            <w:pPr>
              <w:numPr>
                <w:ilvl w:val="0"/>
                <w:numId w:val="8"/>
              </w:numPr>
              <w:pBdr>
                <w:top w:val="nil"/>
                <w:left w:val="nil"/>
                <w:bottom w:val="nil"/>
                <w:right w:val="nil"/>
                <w:between w:val="nil"/>
              </w:pBdr>
              <w:spacing w:before="120" w:after="120"/>
              <w:rPr>
                <w:rFonts w:ascii="Arial" w:eastAsia="Arial" w:hAnsi="Arial" w:cs="Arial"/>
                <w:i/>
                <w:sz w:val="24"/>
                <w:szCs w:val="24"/>
              </w:rPr>
            </w:pPr>
            <w:r w:rsidRPr="007B1E8A">
              <w:rPr>
                <w:rFonts w:ascii="Arial" w:eastAsia="Arial" w:hAnsi="Arial" w:cs="Arial"/>
                <w:b/>
                <w:iCs/>
                <w:sz w:val="24"/>
                <w:szCs w:val="24"/>
                <w:highlight w:val="yellow"/>
              </w:rPr>
              <w:t>[Insert</w:t>
            </w:r>
            <w:r>
              <w:rPr>
                <w:rFonts w:ascii="Arial" w:eastAsia="Arial" w:hAnsi="Arial" w:cs="Arial"/>
                <w:b/>
                <w:i/>
                <w:sz w:val="24"/>
                <w:szCs w:val="24"/>
                <w:highlight w:val="yellow"/>
              </w:rPr>
              <w:t xml:space="preserve"> </w:t>
            </w:r>
            <w:r w:rsidRPr="007B1E8A">
              <w:rPr>
                <w:rFonts w:ascii="Arial" w:eastAsia="Arial" w:hAnsi="Arial" w:cs="Arial"/>
                <w:bCs/>
                <w:iCs/>
                <w:sz w:val="24"/>
                <w:szCs w:val="24"/>
                <w:highlight w:val="yellow"/>
              </w:rPr>
              <w:t>the scope of other Personal Data provided by one Party who is Controller to the other Party who will separately determine the nature and purposes of its Processing the Personal Data on receipt e.g. where</w:t>
            </w:r>
            <w:r w:rsidR="009D1D86">
              <w:rPr>
                <w:rFonts w:ascii="Arial" w:eastAsia="Arial" w:hAnsi="Arial" w:cs="Arial"/>
                <w:bCs/>
                <w:iCs/>
                <w:sz w:val="24"/>
                <w:szCs w:val="24"/>
                <w:highlight w:val="yellow"/>
              </w:rPr>
              <w:t>:</w:t>
            </w:r>
            <w:r w:rsidRPr="007B1E8A">
              <w:rPr>
                <w:rFonts w:ascii="Arial" w:eastAsia="Arial" w:hAnsi="Arial" w:cs="Arial"/>
                <w:bCs/>
                <w:iCs/>
                <w:sz w:val="24"/>
                <w:szCs w:val="24"/>
                <w:highlight w:val="yellow"/>
              </w:rPr>
              <w:t xml:space="preserve"> (1) the Supplier has professional or regulatory obligations in respect of Personal Data received</w:t>
            </w:r>
            <w:r w:rsidR="009D1D86">
              <w:rPr>
                <w:rFonts w:ascii="Arial" w:eastAsia="Arial" w:hAnsi="Arial" w:cs="Arial"/>
                <w:bCs/>
                <w:iCs/>
                <w:sz w:val="24"/>
                <w:szCs w:val="24"/>
                <w:highlight w:val="yellow"/>
              </w:rPr>
              <w:t>;</w:t>
            </w:r>
            <w:r w:rsidRPr="007B1E8A">
              <w:rPr>
                <w:rFonts w:ascii="Arial" w:eastAsia="Arial" w:hAnsi="Arial" w:cs="Arial"/>
                <w:bCs/>
                <w:iCs/>
                <w:sz w:val="24"/>
                <w:szCs w:val="24"/>
                <w:highlight w:val="yellow"/>
              </w:rPr>
              <w:t xml:space="preserve"> (2) a standardised service is such that the Buyer cannot dictate the way in which Personal Data is processed by the Supplier</w:t>
            </w:r>
            <w:r w:rsidR="009D1D86">
              <w:rPr>
                <w:rFonts w:ascii="Arial" w:eastAsia="Arial" w:hAnsi="Arial" w:cs="Arial"/>
                <w:bCs/>
                <w:iCs/>
                <w:sz w:val="24"/>
                <w:szCs w:val="24"/>
                <w:highlight w:val="yellow"/>
              </w:rPr>
              <w:t>;</w:t>
            </w:r>
            <w:r w:rsidRPr="007B1E8A">
              <w:rPr>
                <w:rFonts w:ascii="Arial" w:eastAsia="Arial" w:hAnsi="Arial" w:cs="Arial"/>
                <w:bCs/>
                <w:iCs/>
                <w:sz w:val="24"/>
                <w:szCs w:val="24"/>
                <w:highlight w:val="yellow"/>
              </w:rPr>
              <w:t xml:space="preserve"> or (3) where the  Supplier comes to the transaction with Personal Data for which it is already Controller for use by the Buyer]</w:t>
            </w:r>
            <w:r w:rsidRPr="007B1E8A">
              <w:rPr>
                <w:rFonts w:ascii="Arial" w:eastAsia="Arial" w:hAnsi="Arial" w:cs="Arial"/>
                <w:bCs/>
                <w:iCs/>
                <w:sz w:val="24"/>
                <w:szCs w:val="24"/>
              </w:rPr>
              <w:t xml:space="preserve"> </w:t>
            </w:r>
          </w:p>
          <w:p w14:paraId="00000097" w14:textId="1CCE5D1E" w:rsidR="00271DE7" w:rsidRDefault="00281B0B" w:rsidP="003B53E5">
            <w:pPr>
              <w:spacing w:before="120" w:after="120"/>
              <w:rPr>
                <w:rFonts w:ascii="Arial" w:eastAsia="Arial" w:hAnsi="Arial" w:cs="Arial"/>
                <w:b/>
                <w:i/>
                <w:sz w:val="24"/>
                <w:szCs w:val="24"/>
              </w:rPr>
            </w:pPr>
            <w:r>
              <w:rPr>
                <w:rFonts w:ascii="Arial" w:eastAsia="Arial" w:hAnsi="Arial" w:cs="Arial"/>
                <w:b/>
                <w:i/>
                <w:sz w:val="24"/>
                <w:szCs w:val="24"/>
                <w:highlight w:val="yellow"/>
              </w:rPr>
              <w:t>[Guidance where multiple relationships have been identified above, please address the below rows in the table for in respect of each relationship identified]</w:t>
            </w:r>
            <w:r>
              <w:rPr>
                <w:rFonts w:ascii="Arial" w:eastAsia="Arial" w:hAnsi="Arial" w:cs="Arial"/>
                <w:b/>
                <w:i/>
                <w:sz w:val="24"/>
                <w:szCs w:val="24"/>
              </w:rPr>
              <w:t xml:space="preserve"> </w:t>
            </w:r>
          </w:p>
        </w:tc>
      </w:tr>
      <w:tr w:rsidR="00271DE7" w14:paraId="45AEBFF8" w14:textId="77777777">
        <w:trPr>
          <w:trHeight w:val="1460"/>
        </w:trPr>
        <w:tc>
          <w:tcPr>
            <w:tcW w:w="2263" w:type="dxa"/>
            <w:shd w:val="clear" w:color="auto" w:fill="auto"/>
          </w:tcPr>
          <w:p w14:paraId="00000098" w14:textId="4833A566" w:rsidR="00271DE7" w:rsidRDefault="00281B0B" w:rsidP="003B53E5">
            <w:pPr>
              <w:spacing w:before="120" w:after="120"/>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00000099" w14:textId="6BA1E4B6" w:rsidR="00271DE7" w:rsidRPr="007B1E8A" w:rsidRDefault="00281B0B" w:rsidP="003B53E5">
            <w:pPr>
              <w:spacing w:before="120" w:after="120"/>
              <w:rPr>
                <w:rFonts w:ascii="Arial" w:eastAsia="Arial" w:hAnsi="Arial" w:cs="Arial"/>
                <w:iCs/>
                <w:sz w:val="24"/>
                <w:szCs w:val="24"/>
                <w:highlight w:val="yellow"/>
              </w:rPr>
            </w:pPr>
            <w:r w:rsidRPr="007B1E8A">
              <w:rPr>
                <w:rFonts w:ascii="Arial" w:eastAsia="Arial" w:hAnsi="Arial" w:cs="Arial"/>
                <w:b/>
                <w:iCs/>
                <w:sz w:val="24"/>
                <w:szCs w:val="24"/>
                <w:highlight w:val="yellow"/>
              </w:rPr>
              <w:t>[I</w:t>
            </w:r>
            <w:r w:rsidR="007B1E8A" w:rsidRPr="007B1E8A">
              <w:rPr>
                <w:rFonts w:ascii="Arial" w:eastAsia="Arial" w:hAnsi="Arial" w:cs="Arial"/>
                <w:b/>
                <w:iCs/>
                <w:sz w:val="24"/>
                <w:szCs w:val="24"/>
                <w:highlight w:val="yellow"/>
              </w:rPr>
              <w:t>nsert</w:t>
            </w:r>
            <w:r w:rsidR="007B1E8A" w:rsidRPr="007B1E8A">
              <w:rPr>
                <w:rFonts w:ascii="Arial" w:eastAsia="Arial" w:hAnsi="Arial" w:cs="Arial"/>
                <w:iCs/>
                <w:sz w:val="24"/>
                <w:szCs w:val="24"/>
                <w:highlight w:val="yellow"/>
              </w:rPr>
              <w:t xml:space="preserve"> </w:t>
            </w:r>
            <w:r w:rsidRPr="007B1E8A">
              <w:rPr>
                <w:rFonts w:ascii="Arial" w:eastAsia="Arial" w:hAnsi="Arial" w:cs="Arial"/>
                <w:iCs/>
                <w:sz w:val="24"/>
                <w:szCs w:val="24"/>
                <w:highlight w:val="yellow"/>
              </w:rPr>
              <w:t xml:space="preserve">This should be a high level, short description of what the processing is about i.e. </w:t>
            </w:r>
            <w:r w:rsidR="005B59FF">
              <w:rPr>
                <w:rFonts w:ascii="Arial" w:eastAsia="Arial" w:hAnsi="Arial" w:cs="Arial"/>
                <w:iCs/>
                <w:sz w:val="24"/>
                <w:szCs w:val="24"/>
                <w:highlight w:val="yellow"/>
              </w:rPr>
              <w:t>the</w:t>
            </w:r>
            <w:r w:rsidRPr="007B1E8A">
              <w:rPr>
                <w:rFonts w:ascii="Arial" w:eastAsia="Arial" w:hAnsi="Arial" w:cs="Arial"/>
                <w:iCs/>
                <w:sz w:val="24"/>
                <w:szCs w:val="24"/>
                <w:highlight w:val="yellow"/>
              </w:rPr>
              <w:t xml:space="preserve"> subject matter of the contract. </w:t>
            </w:r>
          </w:p>
          <w:p w14:paraId="0000009B" w14:textId="6719147B" w:rsidR="00271DE7" w:rsidRDefault="00281B0B" w:rsidP="003B53E5">
            <w:pPr>
              <w:spacing w:before="120" w:after="120"/>
              <w:rPr>
                <w:rFonts w:ascii="Arial" w:eastAsia="Arial" w:hAnsi="Arial" w:cs="Arial"/>
                <w:i/>
                <w:sz w:val="24"/>
                <w:szCs w:val="24"/>
              </w:rPr>
            </w:pPr>
            <w:r w:rsidRPr="007B1E8A">
              <w:rPr>
                <w:rFonts w:ascii="Arial" w:eastAsia="Arial" w:hAnsi="Arial" w:cs="Arial"/>
                <w:iCs/>
                <w:sz w:val="24"/>
                <w:szCs w:val="24"/>
                <w:highlight w:val="yellow"/>
              </w:rPr>
              <w:t>Example: The processing is needed in order to ensure that the Processor can effectively deliver the contract to provide [insert description of relevant service]. ]</w:t>
            </w:r>
          </w:p>
        </w:tc>
      </w:tr>
      <w:tr w:rsidR="00271DE7" w14:paraId="10D8B837" w14:textId="77777777">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9D" w14:textId="622E3BEA" w:rsidR="00271DE7" w:rsidRDefault="007B1E8A" w:rsidP="003B53E5">
            <w:pPr>
              <w:spacing w:before="120" w:after="120"/>
              <w:rPr>
                <w:rFonts w:ascii="Arial" w:eastAsia="Arial" w:hAnsi="Arial" w:cs="Arial"/>
                <w:sz w:val="24"/>
                <w:szCs w:val="24"/>
              </w:rPr>
            </w:pPr>
            <w:r w:rsidRPr="007B1E8A">
              <w:rPr>
                <w:rFonts w:ascii="Arial" w:eastAsia="Arial" w:hAnsi="Arial" w:cs="Arial"/>
                <w:b/>
                <w:iCs/>
                <w:sz w:val="24"/>
                <w:szCs w:val="24"/>
                <w:highlight w:val="yellow"/>
              </w:rPr>
              <w:t>[Insert</w:t>
            </w:r>
            <w:r w:rsidRPr="007B1E8A">
              <w:rPr>
                <w:rFonts w:ascii="Arial" w:eastAsia="Arial" w:hAnsi="Arial" w:cs="Arial"/>
                <w:i/>
                <w:sz w:val="24"/>
                <w:szCs w:val="24"/>
                <w:highlight w:val="yellow"/>
              </w:rPr>
              <w:t xml:space="preserve"> </w:t>
            </w:r>
            <w:r w:rsidR="00281B0B" w:rsidRPr="007B1E8A">
              <w:rPr>
                <w:rFonts w:ascii="Arial" w:eastAsia="Arial" w:hAnsi="Arial" w:cs="Arial"/>
                <w:iCs/>
                <w:sz w:val="24"/>
                <w:szCs w:val="24"/>
                <w:highlight w:val="yellow"/>
              </w:rPr>
              <w:t>Clearly set out the duration of the Processing including dates]</w:t>
            </w:r>
          </w:p>
        </w:tc>
      </w:tr>
      <w:tr w:rsidR="00271DE7" w14:paraId="69063CE7" w14:textId="77777777">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000009F" w14:textId="585D06C6" w:rsidR="00271DE7" w:rsidRPr="007B1E8A" w:rsidRDefault="00281B0B" w:rsidP="003B53E5">
            <w:pPr>
              <w:spacing w:before="120" w:after="120"/>
              <w:rPr>
                <w:rFonts w:ascii="Arial" w:eastAsia="Arial" w:hAnsi="Arial" w:cs="Arial"/>
                <w:iCs/>
                <w:sz w:val="24"/>
                <w:szCs w:val="24"/>
                <w:highlight w:val="yellow"/>
              </w:rPr>
            </w:pPr>
            <w:r w:rsidRPr="007B1E8A">
              <w:rPr>
                <w:rFonts w:ascii="Arial" w:eastAsia="Arial" w:hAnsi="Arial" w:cs="Arial"/>
                <w:b/>
                <w:iCs/>
                <w:sz w:val="24"/>
                <w:szCs w:val="24"/>
                <w:highlight w:val="yellow"/>
              </w:rPr>
              <w:t>[</w:t>
            </w:r>
            <w:r w:rsidR="007B1E8A" w:rsidRPr="007B1E8A">
              <w:rPr>
                <w:rFonts w:ascii="Arial" w:eastAsia="Arial" w:hAnsi="Arial" w:cs="Arial"/>
                <w:b/>
                <w:iCs/>
                <w:sz w:val="24"/>
                <w:szCs w:val="24"/>
                <w:highlight w:val="yellow"/>
              </w:rPr>
              <w:t>Insert</w:t>
            </w:r>
            <w:r w:rsidRPr="007B1E8A">
              <w:rPr>
                <w:rFonts w:ascii="Arial" w:eastAsia="Arial" w:hAnsi="Arial" w:cs="Arial"/>
                <w:iCs/>
                <w:sz w:val="24"/>
                <w:szCs w:val="24"/>
                <w:highlight w:val="yellow"/>
              </w:rPr>
              <w:t xml:space="preserve"> Please be as specific as possible, but make sure that you cover all intended purposes. </w:t>
            </w:r>
          </w:p>
          <w:p w14:paraId="000000A0" w14:textId="6DF694E1" w:rsidR="00271DE7" w:rsidRPr="007B1E8A" w:rsidRDefault="00281B0B" w:rsidP="003B53E5">
            <w:pPr>
              <w:spacing w:before="120" w:after="120"/>
              <w:rPr>
                <w:rFonts w:ascii="Arial" w:eastAsia="Arial" w:hAnsi="Arial" w:cs="Arial"/>
                <w:iCs/>
                <w:sz w:val="24"/>
                <w:szCs w:val="24"/>
                <w:highlight w:val="yellow"/>
              </w:rPr>
            </w:pPr>
            <w:r w:rsidRPr="007B1E8A">
              <w:rPr>
                <w:rFonts w:ascii="Arial" w:eastAsia="Arial" w:hAnsi="Arial" w:cs="Arial"/>
                <w:iCs/>
                <w:sz w:val="24"/>
                <w:szCs w:val="24"/>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00000A1" w14:textId="5DB8FE62" w:rsidR="00271DE7" w:rsidRDefault="00281B0B" w:rsidP="003B53E5">
            <w:pPr>
              <w:spacing w:before="120" w:after="120"/>
              <w:rPr>
                <w:rFonts w:ascii="Arial" w:eastAsia="Arial" w:hAnsi="Arial" w:cs="Arial"/>
                <w:sz w:val="24"/>
                <w:szCs w:val="24"/>
              </w:rPr>
            </w:pPr>
            <w:r w:rsidRPr="007B1E8A">
              <w:rPr>
                <w:rFonts w:ascii="Arial" w:eastAsia="Arial" w:hAnsi="Arial" w:cs="Arial"/>
                <w:iCs/>
                <w:sz w:val="24"/>
                <w:szCs w:val="24"/>
                <w:highlight w:val="yellow"/>
              </w:rPr>
              <w:t>The purpose might include: employment processing, statutory obligation, recruitment assessment etc]</w:t>
            </w:r>
          </w:p>
        </w:tc>
      </w:tr>
      <w:tr w:rsidR="00271DE7" w14:paraId="630C59AD" w14:textId="77777777">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000000A3" w14:textId="54957E6C" w:rsidR="00271DE7" w:rsidRPr="007B1E8A" w:rsidRDefault="00281B0B" w:rsidP="003B53E5">
            <w:pPr>
              <w:spacing w:before="120" w:after="120"/>
              <w:rPr>
                <w:rFonts w:ascii="Arial" w:eastAsia="Arial" w:hAnsi="Arial" w:cs="Arial"/>
                <w:iCs/>
                <w:sz w:val="24"/>
                <w:szCs w:val="24"/>
                <w:highlight w:val="yellow"/>
              </w:rPr>
            </w:pPr>
            <w:r w:rsidRPr="007B1E8A">
              <w:rPr>
                <w:rFonts w:ascii="Arial" w:eastAsia="Arial" w:hAnsi="Arial" w:cs="Arial"/>
                <w:b/>
                <w:iCs/>
                <w:sz w:val="24"/>
                <w:szCs w:val="24"/>
                <w:highlight w:val="yellow"/>
              </w:rPr>
              <w:t>[</w:t>
            </w:r>
            <w:r w:rsidR="007B1E8A" w:rsidRPr="007B1E8A">
              <w:rPr>
                <w:rFonts w:ascii="Arial" w:eastAsia="Arial" w:hAnsi="Arial" w:cs="Arial"/>
                <w:b/>
                <w:iCs/>
                <w:sz w:val="24"/>
                <w:szCs w:val="24"/>
                <w:highlight w:val="yellow"/>
              </w:rPr>
              <w:t>Insert</w:t>
            </w:r>
            <w:r w:rsidRPr="007B1E8A">
              <w:rPr>
                <w:rFonts w:ascii="Arial" w:eastAsia="Arial" w:hAnsi="Arial" w:cs="Arial"/>
                <w:iCs/>
                <w:sz w:val="24"/>
                <w:szCs w:val="24"/>
                <w:highlight w:val="yellow"/>
              </w:rPr>
              <w:t xml:space="preserve"> Examples here include: name, address, date of birth, NI number, telephone number, pay, images, biometric data etc]</w:t>
            </w:r>
          </w:p>
        </w:tc>
      </w:tr>
      <w:tr w:rsidR="00271DE7" w14:paraId="6C3DC340" w14:textId="77777777">
        <w:trPr>
          <w:trHeight w:val="1560"/>
        </w:trPr>
        <w:tc>
          <w:tcPr>
            <w:tcW w:w="2263" w:type="dxa"/>
            <w:shd w:val="clear" w:color="auto" w:fill="auto"/>
          </w:tcPr>
          <w:p w14:paraId="000000A4" w14:textId="505929A8" w:rsidR="00271DE7" w:rsidRDefault="00281B0B" w:rsidP="003B53E5">
            <w:pPr>
              <w:spacing w:before="120" w:after="120"/>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00000A5" w14:textId="1093B855" w:rsidR="00271DE7" w:rsidRPr="007B1E8A" w:rsidRDefault="00281B0B" w:rsidP="003B53E5">
            <w:pPr>
              <w:spacing w:before="120" w:after="120"/>
              <w:rPr>
                <w:rFonts w:ascii="Arial" w:eastAsia="Arial" w:hAnsi="Arial" w:cs="Arial"/>
                <w:iCs/>
                <w:sz w:val="24"/>
                <w:szCs w:val="24"/>
                <w:highlight w:val="yellow"/>
              </w:rPr>
            </w:pPr>
            <w:r w:rsidRPr="007B1E8A">
              <w:rPr>
                <w:rFonts w:ascii="Arial" w:eastAsia="Arial" w:hAnsi="Arial" w:cs="Arial"/>
                <w:b/>
                <w:iCs/>
                <w:sz w:val="24"/>
                <w:szCs w:val="24"/>
                <w:highlight w:val="yellow"/>
              </w:rPr>
              <w:t>[</w:t>
            </w:r>
            <w:r w:rsidR="007B1E8A" w:rsidRPr="007B1E8A">
              <w:rPr>
                <w:rFonts w:ascii="Arial" w:eastAsia="Arial" w:hAnsi="Arial" w:cs="Arial"/>
                <w:b/>
                <w:iCs/>
                <w:sz w:val="24"/>
                <w:szCs w:val="24"/>
                <w:highlight w:val="yellow"/>
              </w:rPr>
              <w:t>Insert</w:t>
            </w:r>
            <w:r w:rsidRPr="007B1E8A">
              <w:rPr>
                <w:rFonts w:ascii="Arial" w:eastAsia="Arial" w:hAnsi="Arial" w:cs="Arial"/>
                <w:iCs/>
                <w:sz w:val="24"/>
                <w:szCs w:val="24"/>
                <w:highlight w:val="yellow"/>
              </w:rPr>
              <w:t xml:space="preserve"> Examples include: Staff (including volunteers, agents, and temporary workers), customers/ clients, suppliers, patients, students / pupils, members of the public, users of a particular</w:t>
            </w:r>
            <w:r w:rsidRPr="007B1E8A">
              <w:rPr>
                <w:rFonts w:ascii="Arial" w:eastAsia="Arial" w:hAnsi="Arial" w:cs="Arial"/>
                <w:iCs/>
                <w:sz w:val="24"/>
                <w:szCs w:val="24"/>
                <w:highlight w:val="yellow"/>
              </w:rPr>
              <w:br/>
              <w:t>website etc]</w:t>
            </w:r>
          </w:p>
        </w:tc>
      </w:tr>
      <w:tr w:rsidR="00271DE7" w14:paraId="7387C896" w14:textId="77777777">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000000A8" w14:textId="1516595F" w:rsidR="00271DE7" w:rsidRPr="007B1E8A" w:rsidRDefault="00281B0B" w:rsidP="003B53E5">
            <w:pPr>
              <w:spacing w:before="120" w:after="120"/>
              <w:rPr>
                <w:rFonts w:ascii="Arial" w:eastAsia="Arial" w:hAnsi="Arial" w:cs="Arial"/>
                <w:iCs/>
                <w:sz w:val="24"/>
                <w:szCs w:val="24"/>
                <w:highlight w:val="yellow"/>
              </w:rPr>
            </w:pPr>
            <w:r w:rsidRPr="007B1E8A">
              <w:rPr>
                <w:rFonts w:ascii="Arial" w:eastAsia="Arial" w:hAnsi="Arial" w:cs="Arial"/>
                <w:b/>
                <w:iCs/>
                <w:sz w:val="24"/>
                <w:szCs w:val="24"/>
                <w:highlight w:val="yellow"/>
              </w:rPr>
              <w:t>[</w:t>
            </w:r>
            <w:r w:rsidR="007B1E8A" w:rsidRPr="007B1E8A">
              <w:rPr>
                <w:rFonts w:ascii="Arial" w:eastAsia="Arial" w:hAnsi="Arial" w:cs="Arial"/>
                <w:b/>
                <w:iCs/>
                <w:sz w:val="24"/>
                <w:szCs w:val="24"/>
                <w:highlight w:val="yellow"/>
              </w:rPr>
              <w:t>Insert</w:t>
            </w:r>
            <w:r w:rsidRPr="007B1E8A">
              <w:rPr>
                <w:rFonts w:ascii="Arial" w:eastAsia="Arial" w:hAnsi="Arial" w:cs="Arial"/>
                <w:iCs/>
                <w:sz w:val="24"/>
                <w:szCs w:val="24"/>
                <w:highlight w:val="yellow"/>
              </w:rPr>
              <w:t xml:space="preserve"> Describe how long the data will be retained for, how it be returned or destroyed]</w:t>
            </w:r>
          </w:p>
        </w:tc>
      </w:tr>
      <w:tr w:rsidR="00271DE7" w14:paraId="378887F3" w14:textId="77777777">
        <w:trPr>
          <w:trHeight w:val="1660"/>
        </w:trPr>
        <w:tc>
          <w:tcPr>
            <w:tcW w:w="2263" w:type="dxa"/>
            <w:shd w:val="clear" w:color="auto" w:fill="auto"/>
          </w:tcPr>
          <w:p w14:paraId="000000A9" w14:textId="12E46932" w:rsidR="00271DE7" w:rsidRDefault="00281B0B" w:rsidP="003B53E5">
            <w:pPr>
              <w:spacing w:before="120" w:after="120"/>
              <w:rPr>
                <w:rFonts w:ascii="Arial" w:eastAsia="Arial" w:hAnsi="Arial" w:cs="Arial"/>
                <w:sz w:val="24"/>
                <w:szCs w:val="24"/>
              </w:rPr>
            </w:pPr>
            <w:r>
              <w:rPr>
                <w:rFonts w:ascii="Arial" w:eastAsia="Arial" w:hAnsi="Arial" w:cs="Arial"/>
                <w:sz w:val="24"/>
                <w:szCs w:val="24"/>
              </w:rPr>
              <w:t>Locations at which the Supplier and/or its Sub-contractors process Personal Data under th</w:t>
            </w:r>
            <w:r w:rsidR="00444965">
              <w:rPr>
                <w:rFonts w:ascii="Arial" w:eastAsia="Arial" w:hAnsi="Arial" w:cs="Arial"/>
                <w:sz w:val="24"/>
                <w:szCs w:val="24"/>
              </w:rPr>
              <w:t>e</w:t>
            </w:r>
            <w:r>
              <w:rPr>
                <w:rFonts w:ascii="Arial" w:eastAsia="Arial" w:hAnsi="Arial" w:cs="Arial"/>
                <w:sz w:val="24"/>
                <w:szCs w:val="24"/>
              </w:rPr>
              <w:t xml:space="preserve">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000000AA" w14:textId="786EE95C" w:rsidR="00271DE7" w:rsidRDefault="00281B0B" w:rsidP="003B53E5">
            <w:pPr>
              <w:spacing w:before="120" w:after="12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Clearly</w:t>
            </w:r>
            <w:r>
              <w:rPr>
                <w:rFonts w:ascii="Arial" w:eastAsia="Arial" w:hAnsi="Arial" w:cs="Arial"/>
                <w:sz w:val="24"/>
                <w:szCs w:val="24"/>
                <w:highlight w:val="yellow"/>
              </w:rPr>
              <w:t xml:space="preserve"> identify each location, explain where geographically personal data may be stored or accessed from. Explain the legal gateway you are relying on to export the data e.g. adequacy decision, EU SCCs, UK IDTA. Annex any SCCs or IDTA to this contract]</w:t>
            </w:r>
          </w:p>
        </w:tc>
      </w:tr>
      <w:tr w:rsidR="00271DE7" w14:paraId="7E31C066" w14:textId="77777777">
        <w:trPr>
          <w:trHeight w:val="1660"/>
        </w:trPr>
        <w:tc>
          <w:tcPr>
            <w:tcW w:w="2263" w:type="dxa"/>
            <w:shd w:val="clear" w:color="auto" w:fill="auto"/>
          </w:tcPr>
          <w:p w14:paraId="000000AB" w14:textId="13D1D52C" w:rsidR="00271DE7" w:rsidRDefault="00281B0B" w:rsidP="003B53E5">
            <w:pPr>
              <w:spacing w:before="120" w:after="120"/>
              <w:rPr>
                <w:rFonts w:ascii="Arial" w:eastAsia="Arial" w:hAnsi="Arial" w:cs="Arial"/>
                <w:sz w:val="24"/>
                <w:szCs w:val="24"/>
              </w:rPr>
            </w:pPr>
            <w:r>
              <w:rPr>
                <w:rFonts w:ascii="Arial" w:eastAsia="Arial" w:hAnsi="Arial" w:cs="Arial"/>
                <w:sz w:val="24"/>
                <w:szCs w:val="24"/>
              </w:rPr>
              <w:t>Protective Measures that the Supplier and, where applicable, its Sub-contractors have implemented to protect Personal Data processed under th</w:t>
            </w:r>
            <w:r w:rsidR="00444965">
              <w:rPr>
                <w:rFonts w:ascii="Arial" w:eastAsia="Arial" w:hAnsi="Arial" w:cs="Arial"/>
                <w:sz w:val="24"/>
                <w:szCs w:val="24"/>
              </w:rPr>
              <w:t>e</w:t>
            </w:r>
            <w:r>
              <w:rPr>
                <w:rFonts w:ascii="Arial" w:eastAsia="Arial" w:hAnsi="Arial" w:cs="Arial"/>
                <w:sz w:val="24"/>
                <w:szCs w:val="24"/>
              </w:rPr>
              <w:t xml:space="preserve"> Contract against a breach of security (insofar as that breach of security relates to data) or a Data Loss Event</w:t>
            </w:r>
          </w:p>
        </w:tc>
        <w:tc>
          <w:tcPr>
            <w:tcW w:w="7423" w:type="dxa"/>
            <w:shd w:val="clear" w:color="auto" w:fill="auto"/>
          </w:tcPr>
          <w:p w14:paraId="000000AC" w14:textId="500BBB05" w:rsidR="00271DE7" w:rsidRDefault="00281B0B" w:rsidP="003B53E5">
            <w:pPr>
              <w:spacing w:before="120" w:after="12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Please</w:t>
            </w:r>
            <w:r>
              <w:rPr>
                <w:rFonts w:ascii="Arial" w:eastAsia="Arial" w:hAnsi="Arial" w:cs="Arial"/>
                <w:sz w:val="24"/>
                <w:szCs w:val="24"/>
                <w:highlight w:val="yellow"/>
              </w:rPr>
              <w:t xml:space="preserve"> be as specific as possible]</w:t>
            </w:r>
          </w:p>
        </w:tc>
      </w:tr>
    </w:tbl>
    <w:p w14:paraId="000000AD" w14:textId="40F132D8" w:rsidR="00271DE7" w:rsidRDefault="00271DE7">
      <w:pPr>
        <w:rPr>
          <w:rFonts w:ascii="Arial" w:eastAsia="Arial" w:hAnsi="Arial" w:cs="Arial"/>
          <w:b/>
          <w:sz w:val="24"/>
          <w:szCs w:val="24"/>
        </w:rPr>
      </w:pP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p>
    <w:p w14:paraId="000000B0" w14:textId="3A8F6DC1"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Joint Controller Status and Allocation of Responsibilities </w:t>
      </w:r>
    </w:p>
    <w:p w14:paraId="000000B1" w14:textId="27B88D32" w:rsidR="00271DE7" w:rsidRDefault="00281B0B">
      <w:pPr>
        <w:numPr>
          <w:ilvl w:val="1"/>
          <w:numId w:val="5"/>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With respect to Personal Data under Joint Control of the Parties, the Parties envisage that they shall each be a Data Controller in respect of that Personal Data in accordance with the terms of this Annex </w:t>
      </w:r>
      <w:r w:rsidR="003B53E5" w:rsidRPr="003B53E5">
        <w:rPr>
          <w:rFonts w:ascii="Arial" w:eastAsia="Arial" w:hAnsi="Arial" w:cs="Arial"/>
          <w:color w:val="000000"/>
          <w:sz w:val="24"/>
          <w:szCs w:val="24"/>
        </w:rPr>
        <w:fldChar w:fldCharType="begin"/>
      </w:r>
      <w:r w:rsidR="003B53E5" w:rsidRPr="003B53E5">
        <w:rPr>
          <w:rFonts w:ascii="Arial" w:eastAsia="Arial" w:hAnsi="Arial" w:cs="Arial"/>
          <w:color w:val="000000"/>
          <w:sz w:val="24"/>
          <w:szCs w:val="24"/>
        </w:rPr>
        <w:instrText xml:space="preserve"> REF Ann_2 \h  \* MERGEFORMAT </w:instrText>
      </w:r>
      <w:r w:rsidR="003B53E5" w:rsidRPr="003B53E5">
        <w:rPr>
          <w:rFonts w:ascii="Arial" w:eastAsia="Arial" w:hAnsi="Arial" w:cs="Arial"/>
          <w:color w:val="000000"/>
          <w:sz w:val="24"/>
          <w:szCs w:val="24"/>
        </w:rPr>
      </w:r>
      <w:r w:rsidR="003B53E5" w:rsidRPr="003B53E5">
        <w:rPr>
          <w:rFonts w:ascii="Arial" w:eastAsia="Arial" w:hAnsi="Arial" w:cs="Arial"/>
          <w:color w:val="000000"/>
          <w:sz w:val="24"/>
          <w:szCs w:val="24"/>
        </w:rPr>
        <w:fldChar w:fldCharType="separate"/>
      </w:r>
      <w:r w:rsidR="003B53E5" w:rsidRPr="003B53E5">
        <w:rPr>
          <w:rFonts w:ascii="Arial" w:eastAsia="Arial" w:hAnsi="Arial" w:cs="Arial"/>
          <w:color w:val="000000"/>
          <w:sz w:val="24"/>
          <w:szCs w:val="24"/>
        </w:rPr>
        <w:t>2</w:t>
      </w:r>
      <w:r w:rsidR="003B53E5" w:rsidRPr="003B53E5">
        <w:rPr>
          <w:rFonts w:ascii="Arial" w:eastAsia="Arial" w:hAnsi="Arial" w:cs="Arial"/>
          <w:color w:val="000000"/>
          <w:sz w:val="24"/>
          <w:szCs w:val="24"/>
        </w:rPr>
        <w:fldChar w:fldCharType="end"/>
      </w:r>
      <w:r>
        <w:rPr>
          <w:rFonts w:ascii="Arial" w:eastAsia="Arial" w:hAnsi="Arial" w:cs="Arial"/>
          <w:color w:val="000000"/>
          <w:sz w:val="24"/>
          <w:szCs w:val="24"/>
        </w:rPr>
        <w:t xml:space="preserve"> (Joint Controller Agreement) in replacement of Paragraph </w:t>
      </w:r>
      <w:r w:rsidR="003B53E5">
        <w:rPr>
          <w:rFonts w:ascii="Arial" w:eastAsia="Arial" w:hAnsi="Arial" w:cs="Arial"/>
          <w:color w:val="000000"/>
          <w:sz w:val="24"/>
          <w:szCs w:val="24"/>
        </w:rPr>
        <w:fldChar w:fldCharType="begin"/>
      </w:r>
      <w:r w:rsidR="003B53E5">
        <w:rPr>
          <w:rFonts w:ascii="Arial" w:eastAsia="Arial" w:hAnsi="Arial" w:cs="Arial"/>
          <w:color w:val="000000"/>
          <w:sz w:val="24"/>
          <w:szCs w:val="24"/>
        </w:rPr>
        <w:instrText xml:space="preserve"> REF _Ref141095370 \n \h </w:instrText>
      </w:r>
      <w:r w:rsidR="003B53E5">
        <w:rPr>
          <w:rFonts w:ascii="Arial" w:eastAsia="Arial" w:hAnsi="Arial" w:cs="Arial"/>
          <w:color w:val="000000"/>
          <w:sz w:val="24"/>
          <w:szCs w:val="24"/>
        </w:rPr>
      </w:r>
      <w:r w:rsidR="003B53E5">
        <w:rPr>
          <w:rFonts w:ascii="Arial" w:eastAsia="Arial" w:hAnsi="Arial" w:cs="Arial"/>
          <w:color w:val="000000"/>
          <w:sz w:val="24"/>
          <w:szCs w:val="24"/>
        </w:rPr>
        <w:fldChar w:fldCharType="separate"/>
      </w:r>
      <w:r w:rsidR="003B53E5">
        <w:rPr>
          <w:rFonts w:ascii="Arial" w:eastAsia="Arial" w:hAnsi="Arial" w:cs="Arial"/>
          <w:color w:val="000000"/>
          <w:sz w:val="24"/>
          <w:szCs w:val="24"/>
        </w:rPr>
        <w:t>2</w:t>
      </w:r>
      <w:r w:rsidR="003B53E5">
        <w:rPr>
          <w:rFonts w:ascii="Arial" w:eastAsia="Arial" w:hAnsi="Arial" w:cs="Arial"/>
          <w:color w:val="000000"/>
          <w:sz w:val="24"/>
          <w:szCs w:val="24"/>
        </w:rPr>
        <w:fldChar w:fldCharType="end"/>
      </w:r>
      <w:r>
        <w:rPr>
          <w:rFonts w:ascii="Arial" w:eastAsia="Arial" w:hAnsi="Arial" w:cs="Arial"/>
          <w:color w:val="000000"/>
          <w:sz w:val="24"/>
          <w:szCs w:val="24"/>
        </w:rPr>
        <w:t xml:space="preserve"> (Where one Party is Controller and the other Party is Processor) and Paragraphs </w:t>
      </w:r>
      <w:r w:rsidR="003B53E5">
        <w:rPr>
          <w:rFonts w:ascii="Arial" w:eastAsia="Arial" w:hAnsi="Arial" w:cs="Arial"/>
          <w:color w:val="000000"/>
          <w:sz w:val="24"/>
          <w:szCs w:val="24"/>
        </w:rPr>
        <w:fldChar w:fldCharType="begin"/>
      </w:r>
      <w:r w:rsidR="003B53E5">
        <w:rPr>
          <w:rFonts w:ascii="Arial" w:eastAsia="Arial" w:hAnsi="Arial" w:cs="Arial"/>
          <w:color w:val="000000"/>
          <w:sz w:val="24"/>
          <w:szCs w:val="24"/>
        </w:rPr>
        <w:instrText xml:space="preserve"> REF _Ref141095096 \n \h </w:instrText>
      </w:r>
      <w:r w:rsidR="003B53E5">
        <w:rPr>
          <w:rFonts w:ascii="Arial" w:eastAsia="Arial" w:hAnsi="Arial" w:cs="Arial"/>
          <w:color w:val="000000"/>
          <w:sz w:val="24"/>
          <w:szCs w:val="24"/>
        </w:rPr>
      </w:r>
      <w:r w:rsidR="003B53E5">
        <w:rPr>
          <w:rFonts w:ascii="Arial" w:eastAsia="Arial" w:hAnsi="Arial" w:cs="Arial"/>
          <w:color w:val="000000"/>
          <w:sz w:val="24"/>
          <w:szCs w:val="24"/>
        </w:rPr>
        <w:fldChar w:fldCharType="separate"/>
      </w:r>
      <w:r w:rsidR="003B53E5">
        <w:rPr>
          <w:rFonts w:ascii="Arial" w:eastAsia="Arial" w:hAnsi="Arial" w:cs="Arial"/>
          <w:color w:val="000000"/>
          <w:sz w:val="24"/>
          <w:szCs w:val="24"/>
        </w:rPr>
        <w:t>4.2</w:t>
      </w:r>
      <w:r w:rsidR="003B53E5">
        <w:rPr>
          <w:rFonts w:ascii="Arial" w:eastAsia="Arial" w:hAnsi="Arial" w:cs="Arial"/>
          <w:color w:val="000000"/>
          <w:sz w:val="24"/>
          <w:szCs w:val="24"/>
        </w:rPr>
        <w:fldChar w:fldCharType="end"/>
      </w:r>
      <w:r>
        <w:rPr>
          <w:rFonts w:ascii="Arial" w:eastAsia="Arial" w:hAnsi="Arial" w:cs="Arial"/>
          <w:color w:val="000000"/>
          <w:sz w:val="24"/>
          <w:szCs w:val="24"/>
        </w:rPr>
        <w:t>-</w:t>
      </w:r>
      <w:r w:rsidR="003B53E5">
        <w:rPr>
          <w:rFonts w:ascii="Arial" w:eastAsia="Arial" w:hAnsi="Arial" w:cs="Arial"/>
          <w:color w:val="000000"/>
          <w:sz w:val="24"/>
          <w:szCs w:val="24"/>
        </w:rPr>
        <w:fldChar w:fldCharType="begin"/>
      </w:r>
      <w:r w:rsidR="003B53E5">
        <w:rPr>
          <w:rFonts w:ascii="Arial" w:eastAsia="Arial" w:hAnsi="Arial" w:cs="Arial"/>
          <w:color w:val="000000"/>
          <w:sz w:val="24"/>
          <w:szCs w:val="24"/>
        </w:rPr>
        <w:instrText xml:space="preserve"> REF _Ref141095216 \n \h </w:instrText>
      </w:r>
      <w:r w:rsidR="003B53E5">
        <w:rPr>
          <w:rFonts w:ascii="Arial" w:eastAsia="Arial" w:hAnsi="Arial" w:cs="Arial"/>
          <w:color w:val="000000"/>
          <w:sz w:val="24"/>
          <w:szCs w:val="24"/>
        </w:rPr>
      </w:r>
      <w:r w:rsidR="003B53E5">
        <w:rPr>
          <w:rFonts w:ascii="Arial" w:eastAsia="Arial" w:hAnsi="Arial" w:cs="Arial"/>
          <w:color w:val="000000"/>
          <w:sz w:val="24"/>
          <w:szCs w:val="24"/>
        </w:rPr>
        <w:fldChar w:fldCharType="separate"/>
      </w:r>
      <w:r w:rsidR="003B53E5">
        <w:rPr>
          <w:rFonts w:ascii="Arial" w:eastAsia="Arial" w:hAnsi="Arial" w:cs="Arial"/>
          <w:color w:val="000000"/>
          <w:sz w:val="24"/>
          <w:szCs w:val="24"/>
        </w:rPr>
        <w:t>4.12</w:t>
      </w:r>
      <w:r w:rsidR="003B53E5">
        <w:rPr>
          <w:rFonts w:ascii="Arial" w:eastAsia="Arial" w:hAnsi="Arial" w:cs="Arial"/>
          <w:color w:val="000000"/>
          <w:sz w:val="24"/>
          <w:szCs w:val="24"/>
        </w:rPr>
        <w:fldChar w:fldCharType="end"/>
      </w:r>
      <w:r w:rsidR="003B53E5">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(Independent Controllers of Personal Data). Accordingly, the Parties each undertake to comply with the applicable Data Protection Legislation in respect of their Processing of such Personal Data as Data Controllers. </w:t>
      </w:r>
    </w:p>
    <w:p w14:paraId="000000B2" w14:textId="7FDB0FF5" w:rsidR="00271DE7" w:rsidRDefault="00281B0B">
      <w:pPr>
        <w:keepNext/>
        <w:numPr>
          <w:ilvl w:val="1"/>
          <w:numId w:val="5"/>
        </w:numPr>
        <w:pBdr>
          <w:top w:val="nil"/>
          <w:left w:val="nil"/>
          <w:bottom w:val="nil"/>
          <w:right w:val="nil"/>
          <w:between w:val="nil"/>
        </w:pBdr>
        <w:spacing w:before="120" w:after="120" w:line="240" w:lineRule="auto"/>
      </w:pPr>
      <w:bookmarkStart w:id="34" w:name="_heading=h.17dp8vu" w:colFirst="0" w:colLast="0"/>
      <w:bookmarkStart w:id="35" w:name="_Ref141095435"/>
      <w:bookmarkEnd w:id="34"/>
      <w:r>
        <w:rPr>
          <w:rFonts w:ascii="Arial" w:eastAsia="Arial" w:hAnsi="Arial" w:cs="Arial"/>
          <w:color w:val="000000"/>
          <w:sz w:val="24"/>
          <w:szCs w:val="24"/>
        </w:rPr>
        <w:t>The</w:t>
      </w:r>
      <w:r>
        <w:rPr>
          <w:rFonts w:ascii="Arial" w:eastAsia="Arial" w:hAnsi="Arial" w:cs="Arial"/>
          <w:color w:val="000000"/>
          <w:sz w:val="24"/>
          <w:szCs w:val="24"/>
          <w:highlight w:val="white"/>
        </w:rPr>
        <w:t xml:space="preserve"> Parties agree that the </w:t>
      </w:r>
      <w:r>
        <w:rPr>
          <w:rFonts w:ascii="Arial" w:eastAsia="Arial" w:hAnsi="Arial" w:cs="Arial"/>
          <w:color w:val="000000"/>
          <w:sz w:val="24"/>
          <w:szCs w:val="24"/>
          <w:highlight w:val="yellow"/>
        </w:rPr>
        <w:t>[Supplier/Buyer]:</w:t>
      </w:r>
      <w:bookmarkEnd w:id="35"/>
      <w:r>
        <w:rPr>
          <w:rFonts w:ascii="Arial" w:eastAsia="Arial" w:hAnsi="Arial" w:cs="Arial"/>
          <w:color w:val="000000"/>
          <w:sz w:val="24"/>
          <w:szCs w:val="24"/>
          <w:highlight w:val="yellow"/>
        </w:rPr>
        <w:t xml:space="preserve"> </w:t>
      </w:r>
    </w:p>
    <w:p w14:paraId="000000B3" w14:textId="3614BEC5"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is the exclusive point of contact for Data Subjects and is responsible for using best endeavours to comply with the UK GDPR regarding the exercise by Data Subjects of their rights under the UK GDPR;</w:t>
      </w:r>
    </w:p>
    <w:p w14:paraId="000000B4" w14:textId="7061328C"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00000B5" w14:textId="0842A577"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is solely responsible for the Parties’ compliance with all duties to provide information to Data Subjects under Articles 13 and 14 of the UK GDPR;</w:t>
      </w:r>
    </w:p>
    <w:p w14:paraId="000000B6" w14:textId="6C3B7E8F" w:rsidR="00271DE7" w:rsidRPr="00D54C6E" w:rsidRDefault="00281B0B">
      <w:pPr>
        <w:numPr>
          <w:ilvl w:val="2"/>
          <w:numId w:val="5"/>
        </w:numPr>
        <w:pBdr>
          <w:top w:val="nil"/>
          <w:left w:val="nil"/>
          <w:bottom w:val="nil"/>
          <w:right w:val="nil"/>
          <w:between w:val="nil"/>
        </w:pBdr>
        <w:spacing w:before="120" w:after="120" w:line="240" w:lineRule="auto"/>
        <w:rPr>
          <w:color w:val="000000"/>
          <w:sz w:val="24"/>
          <w:szCs w:val="24"/>
          <w:highlight w:val="white"/>
        </w:rPr>
      </w:pPr>
      <w:r>
        <w:rPr>
          <w:rFonts w:ascii="Arial" w:eastAsia="Arial" w:hAnsi="Arial" w:cs="Arial"/>
          <w:color w:val="000000"/>
          <w:sz w:val="24"/>
          <w:szCs w:val="24"/>
          <w:highlight w:val="white"/>
        </w:rPr>
        <w:t>is responsible for obtaining the informed consent of Data Subjects, in accordance with the UK GDPR, for Processing in connection with the Services where consent is the relevant legal basis for that Processing; and</w:t>
      </w:r>
    </w:p>
    <w:p w14:paraId="000000B7" w14:textId="3B2E5028" w:rsidR="00271DE7" w:rsidRDefault="00281B0B">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 xml:space="preserve">shall make available to Data Subjects the essence of this Annex (and notify them of any changes to it) concerning the allocation of responsibilities as Joint </w:t>
      </w:r>
      <w:r w:rsidRPr="00D54C6E">
        <w:rPr>
          <w:rFonts w:ascii="Arial" w:eastAsia="Arial" w:hAnsi="Arial" w:cs="Arial"/>
          <w:color w:val="000000"/>
          <w:sz w:val="24"/>
          <w:szCs w:val="24"/>
        </w:rPr>
        <w:t>Controller</w:t>
      </w:r>
      <w:r>
        <w:rPr>
          <w:rFonts w:ascii="Arial" w:eastAsia="Arial" w:hAnsi="Arial" w:cs="Arial"/>
          <w:color w:val="000000"/>
          <w:sz w:val="24"/>
          <w:szCs w:val="24"/>
        </w:rPr>
        <w:t xml:space="preserve"> and its role as exclusive point of contact, the Parties having used their best endeavours to agree the terms of that essence</w:t>
      </w:r>
      <w:r>
        <w:rPr>
          <w:rFonts w:ascii="Arial" w:eastAsia="Arial" w:hAnsi="Arial" w:cs="Arial"/>
          <w:color w:val="000000"/>
          <w:sz w:val="24"/>
          <w:szCs w:val="24"/>
          <w:highlight w:val="white"/>
        </w:rPr>
        <w:t>. This must be outlined in the [</w:t>
      </w:r>
      <w:r>
        <w:rPr>
          <w:rFonts w:ascii="Arial" w:eastAsia="Arial" w:hAnsi="Arial" w:cs="Arial"/>
          <w:color w:val="000000"/>
          <w:sz w:val="24"/>
          <w:szCs w:val="24"/>
          <w:highlight w:val="yellow"/>
        </w:rPr>
        <w:t>Supplier’s/Buyer’s</w:t>
      </w:r>
      <w:r>
        <w:rPr>
          <w:rFonts w:ascii="Arial" w:eastAsia="Arial" w:hAnsi="Arial" w:cs="Arial"/>
          <w:color w:val="000000"/>
          <w:sz w:val="24"/>
          <w:szCs w:val="24"/>
          <w:highlight w:val="white"/>
        </w:rPr>
        <w:t xml:space="preserve">] privacy policy </w:t>
      </w:r>
      <w:r>
        <w:rPr>
          <w:rFonts w:ascii="Arial" w:eastAsia="Arial" w:hAnsi="Arial" w:cs="Arial"/>
          <w:color w:val="000000"/>
          <w:sz w:val="24"/>
          <w:szCs w:val="24"/>
        </w:rPr>
        <w:t>(which must be readily available by hyperlink or otherwise on all of its public facing services and marketing).</w:t>
      </w:r>
    </w:p>
    <w:p w14:paraId="000000B8" w14:textId="6BB9BA2E" w:rsidR="00271DE7" w:rsidRDefault="00281B0B">
      <w:pPr>
        <w:numPr>
          <w:ilvl w:val="1"/>
          <w:numId w:val="5"/>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Notwithstanding the terms of Paragraph </w:t>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_Ref141095435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1.2</w:t>
      </w:r>
      <w:r w:rsidR="00985C45">
        <w:rPr>
          <w:rFonts w:ascii="Arial" w:eastAsia="Arial" w:hAnsi="Arial" w:cs="Arial"/>
          <w:color w:val="000000"/>
          <w:sz w:val="24"/>
          <w:szCs w:val="24"/>
        </w:rPr>
        <w:fldChar w:fldCharType="end"/>
      </w:r>
      <w:r>
        <w:rPr>
          <w:rFonts w:ascii="Arial" w:eastAsia="Arial" w:hAnsi="Arial" w:cs="Arial"/>
          <w:color w:val="000000"/>
          <w:sz w:val="24"/>
          <w:szCs w:val="24"/>
        </w:rPr>
        <w:t xml:space="preserve">, the Parties acknowledge that a Data Subject </w:t>
      </w:r>
      <w:r>
        <w:rPr>
          <w:rFonts w:ascii="Arial" w:eastAsia="Arial" w:hAnsi="Arial" w:cs="Arial"/>
          <w:color w:val="000000"/>
          <w:sz w:val="24"/>
          <w:szCs w:val="24"/>
          <w:highlight w:val="white"/>
        </w:rPr>
        <w:t>has</w:t>
      </w:r>
      <w:r>
        <w:rPr>
          <w:rFonts w:ascii="Arial" w:eastAsia="Arial" w:hAnsi="Arial" w:cs="Arial"/>
          <w:color w:val="000000"/>
          <w:sz w:val="24"/>
          <w:szCs w:val="24"/>
        </w:rPr>
        <w:t xml:space="preserve"> the right to exercise their legal rights under the Data Protection Legislation as against the relevant Party as Controller.</w:t>
      </w:r>
    </w:p>
    <w:p w14:paraId="000000B9" w14:textId="17543617"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Undertakings of both Parties</w:t>
      </w:r>
    </w:p>
    <w:p w14:paraId="000000BA" w14:textId="51699B07"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Supplier and the Buyer each undertake that they shall: </w:t>
      </w:r>
    </w:p>
    <w:p w14:paraId="000000BB" w14:textId="264B30FE"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strike/>
          <w:color w:val="000000"/>
          <w:sz w:val="24"/>
          <w:szCs w:val="24"/>
        </w:rPr>
      </w:pPr>
      <w:bookmarkStart w:id="36" w:name="_Ref141095518"/>
      <w:r>
        <w:rPr>
          <w:rFonts w:ascii="Arial" w:eastAsia="Arial" w:hAnsi="Arial" w:cs="Arial"/>
          <w:color w:val="000000"/>
          <w:sz w:val="24"/>
          <w:szCs w:val="24"/>
        </w:rPr>
        <w:t xml:space="preserve">report to the other Party every </w:t>
      </w:r>
      <w:r>
        <w:rPr>
          <w:rFonts w:ascii="Arial" w:eastAsia="Arial" w:hAnsi="Arial" w:cs="Arial"/>
          <w:color w:val="000000"/>
          <w:sz w:val="24"/>
          <w:szCs w:val="24"/>
          <w:highlight w:val="yellow"/>
        </w:rPr>
        <w:t>[x]</w:t>
      </w:r>
      <w:r>
        <w:rPr>
          <w:rFonts w:ascii="Arial" w:eastAsia="Arial" w:hAnsi="Arial" w:cs="Arial"/>
          <w:color w:val="000000"/>
          <w:sz w:val="24"/>
          <w:szCs w:val="24"/>
        </w:rPr>
        <w:t xml:space="preserve"> </w:t>
      </w:r>
      <w:r w:rsidR="00510E06">
        <w:rPr>
          <w:rFonts w:ascii="Arial" w:eastAsia="Arial" w:hAnsi="Arial" w:cs="Arial"/>
          <w:color w:val="000000"/>
          <w:sz w:val="24"/>
          <w:szCs w:val="24"/>
        </w:rPr>
        <w:t>M</w:t>
      </w:r>
      <w:r>
        <w:rPr>
          <w:rFonts w:ascii="Arial" w:eastAsia="Arial" w:hAnsi="Arial" w:cs="Arial"/>
          <w:color w:val="000000"/>
          <w:sz w:val="24"/>
          <w:szCs w:val="24"/>
        </w:rPr>
        <w:t>onths on:</w:t>
      </w:r>
      <w:bookmarkEnd w:id="36"/>
    </w:p>
    <w:p w14:paraId="000000BC" w14:textId="6EBFDB1B"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bookmarkStart w:id="37" w:name="_heading=h.3rdcrjn" w:colFirst="0" w:colLast="0"/>
      <w:bookmarkStart w:id="38" w:name="_Ref141095494"/>
      <w:bookmarkEnd w:id="37"/>
      <w:r>
        <w:rPr>
          <w:rFonts w:ascii="Arial" w:eastAsia="Arial" w:hAnsi="Arial" w:cs="Arial"/>
          <w:color w:val="000000"/>
          <w:sz w:val="24"/>
          <w:szCs w:val="24"/>
        </w:rPr>
        <w:t xml:space="preserve">the </w:t>
      </w:r>
      <w:r w:rsidRPr="00D54C6E">
        <w:rPr>
          <w:rFonts w:ascii="Arial" w:eastAsia="Arial" w:hAnsi="Arial" w:cs="Arial"/>
          <w:color w:val="000000"/>
          <w:sz w:val="24"/>
          <w:szCs w:val="24"/>
        </w:rPr>
        <w:t>volume</w:t>
      </w:r>
      <w:r>
        <w:rPr>
          <w:rFonts w:ascii="Arial" w:eastAsia="Arial" w:hAnsi="Arial" w:cs="Arial"/>
          <w:color w:val="000000"/>
          <w:sz w:val="24"/>
          <w:szCs w:val="24"/>
        </w:rPr>
        <w:t xml:space="preserve"> of Data Subject Access Request (or purported Data Subject Access Requests) from Data Subjects (or third parties on their behalf);</w:t>
      </w:r>
      <w:bookmarkEnd w:id="38"/>
    </w:p>
    <w:p w14:paraId="000000BD" w14:textId="1581A43F"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 xml:space="preserve">the volume of requests from Data Subjects (or third parties on their behalf) to rectify, block or erase any Personal </w:t>
      </w:r>
      <w:r w:rsidRPr="00D54C6E">
        <w:rPr>
          <w:rFonts w:ascii="Arial" w:eastAsia="Arial" w:hAnsi="Arial" w:cs="Arial"/>
          <w:color w:val="000000"/>
          <w:sz w:val="24"/>
          <w:szCs w:val="24"/>
        </w:rPr>
        <w:t>Data</w:t>
      </w:r>
      <w:r>
        <w:rPr>
          <w:rFonts w:ascii="Arial" w:eastAsia="Arial" w:hAnsi="Arial" w:cs="Arial"/>
          <w:color w:val="000000"/>
          <w:sz w:val="24"/>
          <w:szCs w:val="24"/>
        </w:rPr>
        <w:t xml:space="preserve">; </w:t>
      </w:r>
    </w:p>
    <w:p w14:paraId="000000BE" w14:textId="5759235D"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bookmarkStart w:id="39" w:name="_heading=h.26in1rg" w:colFirst="0" w:colLast="0"/>
      <w:bookmarkStart w:id="40" w:name="_Ref141095545"/>
      <w:bookmarkEnd w:id="39"/>
      <w:r>
        <w:rPr>
          <w:rFonts w:ascii="Arial" w:eastAsia="Arial" w:hAnsi="Arial" w:cs="Arial"/>
          <w:color w:val="000000"/>
          <w:sz w:val="24"/>
          <w:szCs w:val="24"/>
        </w:rPr>
        <w:t>any other requests, complaints or communications from Data Subjects (or third parties on their behalf) relating to the other Party’s obligations under applicable Data Protection Legislation;</w:t>
      </w:r>
      <w:bookmarkEnd w:id="40"/>
    </w:p>
    <w:p w14:paraId="000000BF" w14:textId="7D1013D0"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 xml:space="preserve">any communications from the Information Commissioner or any </w:t>
      </w:r>
      <w:r w:rsidRPr="00D54C6E">
        <w:rPr>
          <w:rFonts w:ascii="Arial" w:eastAsia="Arial" w:hAnsi="Arial" w:cs="Arial"/>
          <w:color w:val="000000"/>
          <w:sz w:val="24"/>
          <w:szCs w:val="24"/>
        </w:rPr>
        <w:t>other</w:t>
      </w:r>
      <w:r>
        <w:rPr>
          <w:rFonts w:ascii="Arial" w:eastAsia="Arial" w:hAnsi="Arial" w:cs="Arial"/>
          <w:color w:val="000000"/>
          <w:sz w:val="24"/>
          <w:szCs w:val="24"/>
        </w:rPr>
        <w:t xml:space="preserve"> regulatory authority in connection with Personal Data; and</w:t>
      </w:r>
    </w:p>
    <w:p w14:paraId="000000C0" w14:textId="7F1EAE51" w:rsidR="00271DE7" w:rsidRDefault="00281B0B" w:rsidP="00985C45">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bookmarkStart w:id="41" w:name="_heading=h.lnxbz9" w:colFirst="0" w:colLast="0"/>
      <w:bookmarkStart w:id="42" w:name="_Ref141095511"/>
      <w:bookmarkEnd w:id="41"/>
      <w:r>
        <w:rPr>
          <w:rFonts w:ascii="Arial" w:eastAsia="Arial" w:hAnsi="Arial" w:cs="Arial"/>
          <w:color w:val="000000"/>
          <w:sz w:val="24"/>
          <w:szCs w:val="24"/>
        </w:rPr>
        <w:t xml:space="preserve">any requests from any third party for disclosure of Personal Data </w:t>
      </w:r>
      <w:r w:rsidRPr="00D54C6E">
        <w:rPr>
          <w:rFonts w:ascii="Arial" w:eastAsia="Arial" w:hAnsi="Arial" w:cs="Arial"/>
          <w:color w:val="000000"/>
          <w:sz w:val="24"/>
          <w:szCs w:val="24"/>
        </w:rPr>
        <w:t>where</w:t>
      </w:r>
      <w:r>
        <w:rPr>
          <w:rFonts w:ascii="Arial" w:eastAsia="Arial" w:hAnsi="Arial" w:cs="Arial"/>
          <w:color w:val="000000"/>
          <w:sz w:val="24"/>
          <w:szCs w:val="24"/>
        </w:rPr>
        <w:t xml:space="preserve"> compliance with such request is required or purported to be required by Law,</w:t>
      </w:r>
      <w:bookmarkEnd w:id="42"/>
    </w:p>
    <w:p w14:paraId="000000C1" w14:textId="5541D9AF" w:rsidR="00271DE7" w:rsidRDefault="00281B0B" w:rsidP="004D7A45">
      <w:pPr>
        <w:keepNext/>
        <w:pBdr>
          <w:top w:val="nil"/>
          <w:left w:val="nil"/>
          <w:bottom w:val="nil"/>
          <w:right w:val="nil"/>
          <w:between w:val="nil"/>
        </w:pBdr>
        <w:spacing w:before="120" w:after="120" w:line="240" w:lineRule="auto"/>
        <w:ind w:left="1757"/>
        <w:rPr>
          <w:rFonts w:ascii="Arial" w:eastAsia="Arial" w:hAnsi="Arial" w:cs="Arial"/>
          <w:color w:val="000000"/>
          <w:sz w:val="24"/>
          <w:szCs w:val="24"/>
        </w:rPr>
      </w:pPr>
      <w:r>
        <w:rPr>
          <w:rFonts w:ascii="Arial" w:eastAsia="Arial" w:hAnsi="Arial" w:cs="Arial"/>
          <w:color w:val="000000"/>
          <w:sz w:val="24"/>
          <w:szCs w:val="24"/>
        </w:rPr>
        <w:t xml:space="preserve">that it has received in relation to the subject matter of </w:t>
      </w:r>
      <w:r w:rsidR="00AC431B">
        <w:rPr>
          <w:rFonts w:ascii="Arial" w:eastAsia="Arial" w:hAnsi="Arial" w:cs="Arial"/>
          <w:color w:val="000000"/>
          <w:sz w:val="24"/>
          <w:szCs w:val="24"/>
        </w:rPr>
        <w:t>th</w:t>
      </w:r>
      <w:r w:rsidR="0011480F">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during that period; </w:t>
      </w:r>
    </w:p>
    <w:p w14:paraId="000000C2" w14:textId="082AA1D1"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notify each other immediately if it receives any</w:t>
      </w:r>
      <w:r>
        <w:rPr>
          <w:rFonts w:ascii="Arial" w:eastAsia="Arial" w:hAnsi="Arial" w:cs="Arial"/>
          <w:color w:val="000000"/>
          <w:sz w:val="24"/>
          <w:szCs w:val="24"/>
        </w:rPr>
        <w:t xml:space="preserve"> request, complaint or communication made as referred to in Paragraphs </w:t>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_Ref141095494 \w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_Ref141095518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2.1.1</w:t>
      </w:r>
      <w:r w:rsidR="00985C45">
        <w:rPr>
          <w:rFonts w:ascii="Arial" w:eastAsia="Arial" w:hAnsi="Arial" w:cs="Arial"/>
          <w:color w:val="000000"/>
          <w:sz w:val="24"/>
          <w:szCs w:val="24"/>
        </w:rPr>
        <w:fldChar w:fldCharType="end"/>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_Ref141095494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(a)</w:t>
      </w:r>
      <w:r w:rsidR="006A1C60">
        <w:rPr>
          <w:rFonts w:ascii="Arial" w:eastAsia="Arial" w:hAnsi="Arial" w:cs="Arial"/>
          <w:color w:val="000000"/>
          <w:sz w:val="24"/>
          <w:szCs w:val="24"/>
        </w:rPr>
        <w:fldChar w:fldCharType="end"/>
      </w:r>
      <w:r w:rsidR="00985C45">
        <w:rPr>
          <w:rFonts w:ascii="Arial" w:eastAsia="Arial" w:hAnsi="Arial" w:cs="Arial"/>
          <w:color w:val="000000"/>
          <w:sz w:val="24"/>
          <w:szCs w:val="24"/>
        </w:rPr>
        <w:fldChar w:fldCharType="end"/>
      </w:r>
      <w:r>
        <w:rPr>
          <w:rFonts w:ascii="Arial" w:eastAsia="Arial" w:hAnsi="Arial" w:cs="Arial"/>
          <w:color w:val="000000"/>
          <w:sz w:val="24"/>
          <w:szCs w:val="24"/>
        </w:rPr>
        <w:t xml:space="preserve"> to </w:t>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_Ref141095518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2.1.1</w:t>
      </w:r>
      <w:r w:rsidR="00985C45">
        <w:rPr>
          <w:rFonts w:ascii="Arial" w:eastAsia="Arial" w:hAnsi="Arial" w:cs="Arial"/>
          <w:color w:val="000000"/>
          <w:sz w:val="24"/>
          <w:szCs w:val="24"/>
        </w:rPr>
        <w:fldChar w:fldCharType="end"/>
      </w:r>
      <w:r w:rsidR="00985C45">
        <w:rPr>
          <w:rFonts w:ascii="Arial" w:eastAsia="Arial" w:hAnsi="Arial" w:cs="Arial"/>
          <w:color w:val="000000"/>
          <w:sz w:val="24"/>
          <w:szCs w:val="24"/>
        </w:rPr>
        <w:fldChar w:fldCharType="begin"/>
      </w:r>
      <w:r w:rsidR="00985C45">
        <w:rPr>
          <w:rFonts w:ascii="Arial" w:eastAsia="Arial" w:hAnsi="Arial" w:cs="Arial"/>
          <w:color w:val="000000"/>
          <w:sz w:val="24"/>
          <w:szCs w:val="24"/>
        </w:rPr>
        <w:instrText xml:space="preserve"> REF _Ref141095511 \n \h </w:instrText>
      </w:r>
      <w:r w:rsidR="00985C45">
        <w:rPr>
          <w:rFonts w:ascii="Arial" w:eastAsia="Arial" w:hAnsi="Arial" w:cs="Arial"/>
          <w:color w:val="000000"/>
          <w:sz w:val="24"/>
          <w:szCs w:val="24"/>
        </w:rPr>
      </w:r>
      <w:r w:rsidR="00985C45">
        <w:rPr>
          <w:rFonts w:ascii="Arial" w:eastAsia="Arial" w:hAnsi="Arial" w:cs="Arial"/>
          <w:color w:val="000000"/>
          <w:sz w:val="24"/>
          <w:szCs w:val="24"/>
        </w:rPr>
        <w:fldChar w:fldCharType="separate"/>
      </w:r>
      <w:r w:rsidR="00985C45">
        <w:rPr>
          <w:rFonts w:ascii="Arial" w:eastAsia="Arial" w:hAnsi="Arial" w:cs="Arial"/>
          <w:color w:val="000000"/>
          <w:sz w:val="24"/>
          <w:szCs w:val="24"/>
        </w:rPr>
        <w:t>(e)</w:t>
      </w:r>
      <w:r w:rsidR="00985C45">
        <w:rPr>
          <w:rFonts w:ascii="Arial" w:eastAsia="Arial" w:hAnsi="Arial" w:cs="Arial"/>
          <w:color w:val="000000"/>
          <w:sz w:val="24"/>
          <w:szCs w:val="24"/>
        </w:rPr>
        <w:fldChar w:fldCharType="end"/>
      </w:r>
      <w:r>
        <w:rPr>
          <w:rFonts w:ascii="Arial" w:eastAsia="Arial" w:hAnsi="Arial" w:cs="Arial"/>
          <w:color w:val="000000"/>
          <w:sz w:val="24"/>
          <w:szCs w:val="24"/>
        </w:rPr>
        <w:t xml:space="preserve">; </w:t>
      </w:r>
    </w:p>
    <w:p w14:paraId="000000C3" w14:textId="0AD505F3"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provide the other Party with full cooperation and assistance in relation to any request, complaint or communication made as referred to in Paragraphs </w:t>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_Ref141095435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1.2</w:t>
      </w:r>
      <w:r w:rsidR="006A1C60">
        <w:rPr>
          <w:rFonts w:ascii="Arial" w:eastAsia="Arial" w:hAnsi="Arial" w:cs="Arial"/>
          <w:color w:val="000000"/>
          <w:sz w:val="24"/>
          <w:szCs w:val="24"/>
        </w:rPr>
        <w:fldChar w:fldCharType="end"/>
      </w:r>
      <w:r w:rsidR="006A1C60">
        <w:rPr>
          <w:rFonts w:ascii="Arial" w:eastAsia="Arial" w:hAnsi="Arial" w:cs="Arial"/>
          <w:color w:val="000000"/>
          <w:sz w:val="24"/>
          <w:szCs w:val="24"/>
        </w:rPr>
        <w:t xml:space="preserve"> </w:t>
      </w:r>
      <w:r>
        <w:rPr>
          <w:rFonts w:ascii="Arial" w:eastAsia="Arial" w:hAnsi="Arial" w:cs="Arial"/>
          <w:color w:val="000000"/>
          <w:sz w:val="24"/>
          <w:szCs w:val="24"/>
        </w:rPr>
        <w:t>and ‎</w:t>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_Ref141095545 \w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_Ref141095518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2.1.1</w:t>
      </w:r>
      <w:r w:rsidR="006A1C60">
        <w:rPr>
          <w:rFonts w:ascii="Arial" w:eastAsia="Arial" w:hAnsi="Arial" w:cs="Arial"/>
          <w:color w:val="000000"/>
          <w:sz w:val="24"/>
          <w:szCs w:val="24"/>
        </w:rPr>
        <w:fldChar w:fldCharType="end"/>
      </w:r>
      <w:r w:rsidR="006A1C60">
        <w:rPr>
          <w:rFonts w:ascii="Arial" w:eastAsia="Arial" w:hAnsi="Arial" w:cs="Arial"/>
          <w:color w:val="000000"/>
          <w:sz w:val="24"/>
          <w:szCs w:val="24"/>
        </w:rPr>
        <w:t>(c)</w:t>
      </w:r>
      <w:r w:rsidR="006A1C60">
        <w:rPr>
          <w:rFonts w:ascii="Arial" w:eastAsia="Arial" w:hAnsi="Arial" w:cs="Arial"/>
          <w:color w:val="000000"/>
          <w:sz w:val="24"/>
          <w:szCs w:val="24"/>
        </w:rPr>
        <w:fldChar w:fldCharType="end"/>
      </w:r>
      <w:r>
        <w:rPr>
          <w:rFonts w:ascii="Arial" w:eastAsia="Arial" w:hAnsi="Arial" w:cs="Arial"/>
          <w:color w:val="000000"/>
          <w:sz w:val="24"/>
          <w:szCs w:val="24"/>
        </w:rPr>
        <w:t xml:space="preserve"> to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_Ref141095518 \n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2.1.1</w:t>
      </w:r>
      <w:r w:rsidR="00831C67">
        <w:rPr>
          <w:rFonts w:ascii="Arial" w:eastAsia="Arial" w:hAnsi="Arial" w:cs="Arial"/>
          <w:color w:val="000000"/>
          <w:sz w:val="24"/>
          <w:szCs w:val="24"/>
        </w:rPr>
        <w:fldChar w:fldCharType="end"/>
      </w:r>
      <w:r w:rsidR="006A1C60">
        <w:rPr>
          <w:rFonts w:ascii="Arial" w:eastAsia="Arial" w:hAnsi="Arial" w:cs="Arial"/>
          <w:color w:val="000000"/>
          <w:sz w:val="24"/>
          <w:szCs w:val="24"/>
        </w:rPr>
        <w:fldChar w:fldCharType="begin"/>
      </w:r>
      <w:r w:rsidR="006A1C60">
        <w:rPr>
          <w:rFonts w:ascii="Arial" w:eastAsia="Arial" w:hAnsi="Arial" w:cs="Arial"/>
          <w:color w:val="000000"/>
          <w:sz w:val="24"/>
          <w:szCs w:val="24"/>
        </w:rPr>
        <w:instrText xml:space="preserve"> REF _Ref141095511 \n \h </w:instrText>
      </w:r>
      <w:r w:rsidR="006A1C60">
        <w:rPr>
          <w:rFonts w:ascii="Arial" w:eastAsia="Arial" w:hAnsi="Arial" w:cs="Arial"/>
          <w:color w:val="000000"/>
          <w:sz w:val="24"/>
          <w:szCs w:val="24"/>
        </w:rPr>
      </w:r>
      <w:r w:rsidR="006A1C60">
        <w:rPr>
          <w:rFonts w:ascii="Arial" w:eastAsia="Arial" w:hAnsi="Arial" w:cs="Arial"/>
          <w:color w:val="000000"/>
          <w:sz w:val="24"/>
          <w:szCs w:val="24"/>
        </w:rPr>
        <w:fldChar w:fldCharType="separate"/>
      </w:r>
      <w:r w:rsidR="006A1C60">
        <w:rPr>
          <w:rFonts w:ascii="Arial" w:eastAsia="Arial" w:hAnsi="Arial" w:cs="Arial"/>
          <w:color w:val="000000"/>
          <w:sz w:val="24"/>
          <w:szCs w:val="24"/>
        </w:rPr>
        <w:t>(e)</w:t>
      </w:r>
      <w:r w:rsidR="006A1C60">
        <w:rPr>
          <w:rFonts w:ascii="Arial" w:eastAsia="Arial" w:hAnsi="Arial" w:cs="Arial"/>
          <w:color w:val="000000"/>
          <w:sz w:val="24"/>
          <w:szCs w:val="24"/>
        </w:rPr>
        <w:fldChar w:fldCharType="end"/>
      </w:r>
      <w:r>
        <w:rPr>
          <w:rFonts w:ascii="Arial" w:eastAsia="Arial" w:hAnsi="Arial" w:cs="Arial"/>
          <w:color w:val="000000"/>
          <w:sz w:val="24"/>
          <w:szCs w:val="24"/>
        </w:rPr>
        <w:t xml:space="preserve"> to enable the other Party to comply with the relevant timescales set out in the Data Protection Legislation;</w:t>
      </w:r>
    </w:p>
    <w:p w14:paraId="000000C4" w14:textId="797C25F7"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disclose or transfer the Personal Data to any third party unless </w:t>
      </w:r>
      <w:r>
        <w:rPr>
          <w:rFonts w:ascii="Arial" w:eastAsia="Arial" w:hAnsi="Arial" w:cs="Arial"/>
          <w:color w:val="000000"/>
          <w:sz w:val="24"/>
          <w:szCs w:val="24"/>
          <w:highlight w:val="white"/>
        </w:rPr>
        <w:t>necessary</w:t>
      </w:r>
      <w:r>
        <w:rPr>
          <w:rFonts w:ascii="Arial" w:eastAsia="Arial" w:hAnsi="Arial" w:cs="Arial"/>
          <w:color w:val="000000"/>
          <w:sz w:val="24"/>
          <w:szCs w:val="24"/>
        </w:rPr>
        <w:t xml:space="preserve"> for the provision of the Services and, for any disclosure or transfer of Personal Data to any third party, (save where such disclosure or transfer is specifically authorised under </w:t>
      </w:r>
      <w:r w:rsidR="00AC431B">
        <w:rPr>
          <w:rFonts w:ascii="Arial" w:eastAsia="Arial" w:hAnsi="Arial" w:cs="Arial"/>
          <w:color w:val="000000"/>
          <w:sz w:val="24"/>
          <w:szCs w:val="24"/>
        </w:rPr>
        <w:t>th</w:t>
      </w:r>
      <w:r w:rsidR="0011480F">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or is required by Law) that disclosure or transfer of Personal Data </w:t>
      </w:r>
      <w:r w:rsidRPr="00D54C6E">
        <w:rPr>
          <w:rFonts w:ascii="Arial" w:eastAsia="Arial" w:hAnsi="Arial" w:cs="Arial"/>
          <w:color w:val="000000"/>
          <w:sz w:val="24"/>
          <w:szCs w:val="24"/>
        </w:rPr>
        <w:t xml:space="preserve">is otherwise considered to be lawful processing of that Personal Data in accordance with Article 6 of the UK GDPR or EU GDPR (as the context requires). </w:t>
      </w:r>
      <w:r>
        <w:rPr>
          <w:rFonts w:ascii="Arial" w:eastAsia="Arial" w:hAnsi="Arial" w:cs="Arial"/>
          <w:color w:val="000000"/>
          <w:sz w:val="24"/>
          <w:szCs w:val="24"/>
        </w:rPr>
        <w:t>For the avoidance of doubt, the third party to which Personal Data is transferred must be subject to equivalent obligations which are no less onerous than those set out in this Annex;</w:t>
      </w:r>
    </w:p>
    <w:p w14:paraId="000000C5" w14:textId="6F47D892"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request from the Data Subject only the minimum information necessary to </w:t>
      </w:r>
      <w:r>
        <w:rPr>
          <w:rFonts w:ascii="Arial" w:eastAsia="Arial" w:hAnsi="Arial" w:cs="Arial"/>
          <w:color w:val="000000"/>
          <w:sz w:val="24"/>
          <w:szCs w:val="24"/>
          <w:highlight w:val="white"/>
        </w:rPr>
        <w:t>provide</w:t>
      </w:r>
      <w:r>
        <w:rPr>
          <w:rFonts w:ascii="Arial" w:eastAsia="Arial" w:hAnsi="Arial" w:cs="Arial"/>
          <w:color w:val="000000"/>
          <w:sz w:val="24"/>
          <w:szCs w:val="24"/>
        </w:rPr>
        <w:t xml:space="preserve"> the Services and treat such extracted information as Confidential Information;</w:t>
      </w:r>
    </w:p>
    <w:p w14:paraId="000000C6" w14:textId="34E26D29"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ensure</w:t>
      </w:r>
      <w:r>
        <w:rPr>
          <w:rFonts w:ascii="Arial" w:eastAsia="Arial" w:hAnsi="Arial" w:cs="Arial"/>
          <w:color w:val="000000"/>
          <w:sz w:val="24"/>
          <w:szCs w:val="24"/>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00000C7" w14:textId="54E755BF"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use best endeavours to ensure the reliability and integrity of any of its </w:t>
      </w:r>
      <w:r>
        <w:rPr>
          <w:rFonts w:ascii="Arial" w:eastAsia="Arial" w:hAnsi="Arial" w:cs="Arial"/>
          <w:color w:val="000000"/>
          <w:sz w:val="24"/>
          <w:szCs w:val="24"/>
          <w:highlight w:val="white"/>
        </w:rPr>
        <w:t>Personnel</w:t>
      </w:r>
      <w:r>
        <w:rPr>
          <w:rFonts w:ascii="Arial" w:eastAsia="Arial" w:hAnsi="Arial" w:cs="Arial"/>
          <w:color w:val="000000"/>
          <w:sz w:val="24"/>
          <w:szCs w:val="24"/>
        </w:rPr>
        <w:t xml:space="preserve"> who have access to the Personal Data and ensure that its Personnel:</w:t>
      </w:r>
    </w:p>
    <w:p w14:paraId="000000C8" w14:textId="51FE0A55" w:rsidR="00271DE7" w:rsidRPr="00831C67" w:rsidRDefault="00281B0B" w:rsidP="00831C67">
      <w:pPr>
        <w:pStyle w:val="ScheduleUntitledsubclause1"/>
        <w:numPr>
          <w:ilvl w:val="3"/>
          <w:numId w:val="13"/>
        </w:numPr>
        <w:pBdr>
          <w:top w:val="nil"/>
          <w:left w:val="nil"/>
          <w:bottom w:val="nil"/>
          <w:right w:val="nil"/>
          <w:between w:val="nil"/>
        </w:pBdr>
        <w:spacing w:before="120" w:line="240" w:lineRule="auto"/>
        <w:rPr>
          <w:rFonts w:eastAsia="Arial" w:cs="Arial"/>
          <w:sz w:val="24"/>
          <w:szCs w:val="24"/>
        </w:rPr>
      </w:pPr>
      <w:r w:rsidRPr="00831C67">
        <w:rPr>
          <w:rFonts w:eastAsia="Arial" w:cs="Arial"/>
          <w:sz w:val="24"/>
          <w:szCs w:val="24"/>
        </w:rPr>
        <w:t xml:space="preserve">are aware of and comply with their duties under this Annex </w:t>
      </w:r>
      <w:r w:rsidR="00831C67" w:rsidRPr="00831C67">
        <w:rPr>
          <w:rFonts w:eastAsia="Arial" w:cs="Arial"/>
          <w:sz w:val="24"/>
          <w:szCs w:val="24"/>
        </w:rPr>
        <w:fldChar w:fldCharType="begin"/>
      </w:r>
      <w:r w:rsidR="00831C67" w:rsidRPr="00831C67">
        <w:rPr>
          <w:rFonts w:eastAsia="Arial" w:cs="Arial"/>
          <w:sz w:val="24"/>
          <w:szCs w:val="24"/>
        </w:rPr>
        <w:instrText xml:space="preserve"> REF Ann_2 \h  \* MERGEFORMAT </w:instrText>
      </w:r>
      <w:r w:rsidR="00831C67" w:rsidRPr="00831C67">
        <w:rPr>
          <w:rFonts w:eastAsia="Arial" w:cs="Arial"/>
          <w:sz w:val="24"/>
          <w:szCs w:val="24"/>
        </w:rPr>
      </w:r>
      <w:r w:rsidR="00831C67" w:rsidRPr="00831C67">
        <w:rPr>
          <w:rFonts w:eastAsia="Arial" w:cs="Arial"/>
          <w:sz w:val="24"/>
          <w:szCs w:val="24"/>
        </w:rPr>
        <w:fldChar w:fldCharType="separate"/>
      </w:r>
      <w:r w:rsidR="00831C67" w:rsidRPr="00831C67">
        <w:rPr>
          <w:rFonts w:eastAsia="Arial" w:cs="Arial"/>
          <w:sz w:val="24"/>
          <w:szCs w:val="24"/>
        </w:rPr>
        <w:t>2</w:t>
      </w:r>
      <w:r w:rsidR="00831C67" w:rsidRPr="00831C67">
        <w:rPr>
          <w:rFonts w:eastAsia="Arial" w:cs="Arial"/>
          <w:sz w:val="24"/>
          <w:szCs w:val="24"/>
        </w:rPr>
        <w:fldChar w:fldCharType="end"/>
      </w:r>
      <w:r w:rsidRPr="00831C67">
        <w:rPr>
          <w:rFonts w:eastAsia="Arial" w:cs="Arial"/>
          <w:sz w:val="24"/>
          <w:szCs w:val="24"/>
        </w:rPr>
        <w:t xml:space="preserve"> and those in respect of Confidential Information </w:t>
      </w:r>
    </w:p>
    <w:p w14:paraId="000000C9" w14:textId="477FA967"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 xml:space="preserve">are informed of the confidential nature of the Personal Data, are subject to appropriate obligations of confidentiality and do not publish, disclose or divulge any of the Personal Data to any third party where that Party would not be permitted to do so; </w:t>
      </w:r>
    </w:p>
    <w:p w14:paraId="000000CA" w14:textId="000EF449"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have undergone adequate training in the use, care, protection and handling of personal data as required by the applicable Data Protection Legislation;</w:t>
      </w:r>
    </w:p>
    <w:p w14:paraId="000000CB" w14:textId="49D1537B"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w:t>
      </w:r>
      <w:r>
        <w:rPr>
          <w:rFonts w:ascii="Arial" w:eastAsia="Arial" w:hAnsi="Arial" w:cs="Arial"/>
          <w:color w:val="000000"/>
          <w:sz w:val="24"/>
          <w:szCs w:val="24"/>
          <w:highlight w:val="white"/>
        </w:rPr>
        <w:t>that</w:t>
      </w:r>
      <w:r>
        <w:rPr>
          <w:rFonts w:ascii="Arial" w:eastAsia="Arial" w:hAnsi="Arial" w:cs="Arial"/>
          <w:color w:val="000000"/>
          <w:sz w:val="24"/>
          <w:szCs w:val="24"/>
        </w:rPr>
        <w:t xml:space="preserve"> it has in place Protective Measures as appropriate to protect against a Data Loss Event having taken account of the:</w:t>
      </w:r>
    </w:p>
    <w:p w14:paraId="000000CC" w14:textId="4D847802" w:rsidR="00271DE7" w:rsidRPr="00831C67" w:rsidRDefault="00281B0B" w:rsidP="00831C67">
      <w:pPr>
        <w:pStyle w:val="ScheduleUntitledsubclause1"/>
        <w:numPr>
          <w:ilvl w:val="3"/>
          <w:numId w:val="14"/>
        </w:numPr>
        <w:pBdr>
          <w:top w:val="nil"/>
          <w:left w:val="nil"/>
          <w:bottom w:val="nil"/>
          <w:right w:val="nil"/>
          <w:between w:val="nil"/>
        </w:pBdr>
        <w:spacing w:before="120" w:line="240" w:lineRule="auto"/>
        <w:rPr>
          <w:rFonts w:eastAsia="Arial" w:cs="Arial"/>
          <w:sz w:val="24"/>
          <w:szCs w:val="24"/>
        </w:rPr>
      </w:pPr>
      <w:r w:rsidRPr="00831C67">
        <w:rPr>
          <w:rFonts w:eastAsia="Arial" w:cs="Arial"/>
          <w:sz w:val="24"/>
          <w:szCs w:val="24"/>
        </w:rPr>
        <w:t>nature of the data to be protected;</w:t>
      </w:r>
    </w:p>
    <w:p w14:paraId="000000CD" w14:textId="7E7C8061"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harm that might result from a Data Loss Event;</w:t>
      </w:r>
    </w:p>
    <w:p w14:paraId="000000CE" w14:textId="702633C6"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state of technological development; and</w:t>
      </w:r>
    </w:p>
    <w:p w14:paraId="000000CF" w14:textId="75B4DB0D"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cost of implementing any measures;</w:t>
      </w:r>
    </w:p>
    <w:p w14:paraId="000000D0" w14:textId="729A8130"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that it has the capability (whether technological or otherwise), to </w:t>
      </w:r>
      <w:r>
        <w:rPr>
          <w:rFonts w:ascii="Arial" w:eastAsia="Arial" w:hAnsi="Arial" w:cs="Arial"/>
          <w:color w:val="000000"/>
          <w:sz w:val="24"/>
          <w:szCs w:val="24"/>
          <w:highlight w:val="white"/>
        </w:rPr>
        <w:t>the</w:t>
      </w:r>
      <w:r>
        <w:rPr>
          <w:rFonts w:ascii="Arial" w:eastAsia="Arial" w:hAnsi="Arial" w:cs="Arial"/>
          <w:color w:val="000000"/>
          <w:sz w:val="24"/>
          <w:szCs w:val="24"/>
        </w:rPr>
        <w:t xml:space="preserve"> extent required by Data Protection Legislation, to provide or correct or delete at the request of a Data Subject all the Personal Data relating to that Data Subject that the Supplier holds; and</w:t>
      </w:r>
    </w:p>
    <w:p w14:paraId="000000D1" w14:textId="0955FC42"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white"/>
        </w:rPr>
        <w:t>ensure</w:t>
      </w:r>
      <w:r>
        <w:rPr>
          <w:rFonts w:ascii="Arial" w:eastAsia="Arial" w:hAnsi="Arial" w:cs="Arial"/>
          <w:color w:val="000000"/>
          <w:sz w:val="24"/>
          <w:szCs w:val="24"/>
        </w:rPr>
        <w:t xml:space="preserve"> that it notifies the other Party as soon as it becomes aware of a Data Loss Event;</w:t>
      </w:r>
    </w:p>
    <w:p w14:paraId="000000D2" w14:textId="0D128675" w:rsidR="00271DE7" w:rsidRDefault="00281B0B" w:rsidP="00D54C6E">
      <w:pPr>
        <w:numPr>
          <w:ilvl w:val="2"/>
          <w:numId w:val="6"/>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transfer </w:t>
      </w:r>
      <w:r>
        <w:rPr>
          <w:rFonts w:ascii="Arial" w:eastAsia="Arial" w:hAnsi="Arial" w:cs="Arial"/>
          <w:color w:val="000000"/>
          <w:sz w:val="24"/>
          <w:szCs w:val="24"/>
          <w:highlight w:val="white"/>
        </w:rPr>
        <w:t>such</w:t>
      </w:r>
      <w:r w:rsidRPr="00D54C6E">
        <w:rPr>
          <w:rFonts w:ascii="Arial" w:eastAsia="Arial" w:hAnsi="Arial" w:cs="Arial"/>
          <w:color w:val="000000"/>
          <w:sz w:val="24"/>
          <w:szCs w:val="24"/>
        </w:rPr>
        <w:t xml:space="preserve"> Personal Data outside of the UK and/or the EEA unless the prior written consent of the non-transferring Party has been obtained and the following conditions are fulfilled:</w:t>
      </w:r>
    </w:p>
    <w:p w14:paraId="000000D3" w14:textId="6CC76476" w:rsidR="00271DE7" w:rsidRPr="00831C67" w:rsidRDefault="00281B0B" w:rsidP="00831C67">
      <w:pPr>
        <w:pStyle w:val="ScheduleUntitledsubclause1"/>
        <w:numPr>
          <w:ilvl w:val="3"/>
          <w:numId w:val="15"/>
        </w:numPr>
        <w:pBdr>
          <w:top w:val="nil"/>
          <w:left w:val="nil"/>
          <w:bottom w:val="nil"/>
          <w:right w:val="nil"/>
          <w:between w:val="nil"/>
        </w:pBdr>
        <w:spacing w:before="120" w:line="240" w:lineRule="auto"/>
        <w:rPr>
          <w:rFonts w:eastAsia="Arial" w:cs="Arial"/>
          <w:sz w:val="24"/>
          <w:szCs w:val="24"/>
        </w:rPr>
      </w:pPr>
      <w:bookmarkStart w:id="43" w:name="_heading=h.35nkun2" w:colFirst="0" w:colLast="0"/>
      <w:bookmarkEnd w:id="43"/>
      <w:r w:rsidRPr="00831C67">
        <w:rPr>
          <w:rFonts w:eastAsia="Arial" w:cs="Arial"/>
          <w:sz w:val="24"/>
          <w:szCs w:val="24"/>
        </w:rPr>
        <w:t xml:space="preserve">the destination country has been recognised as adequate by the UK government in accordance with Article 45 of the UK GDPR or DPA 2018 Section 74A and/or the transfer is in accordance with Article 45 of </w:t>
      </w:r>
      <w:r w:rsidR="009B0AA3" w:rsidRPr="00831C67">
        <w:rPr>
          <w:rFonts w:eastAsia="Arial" w:cs="Arial"/>
          <w:sz w:val="24"/>
          <w:szCs w:val="24"/>
        </w:rPr>
        <w:t>the</w:t>
      </w:r>
      <w:r w:rsidRPr="00831C67">
        <w:rPr>
          <w:rFonts w:eastAsia="Arial" w:cs="Arial"/>
          <w:sz w:val="24"/>
          <w:szCs w:val="24"/>
        </w:rPr>
        <w:t xml:space="preserve"> EU GDPR (where applicable); or</w:t>
      </w:r>
    </w:p>
    <w:p w14:paraId="000000D4" w14:textId="516F4114" w:rsidR="00271DE7" w:rsidRDefault="00281B0B" w:rsidP="00831C67">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w:t>
      </w:r>
      <w:r>
        <w:rPr>
          <w:rFonts w:ascii="Arial" w:eastAsia="Arial" w:hAnsi="Arial" w:cs="Arial"/>
          <w:color w:val="000000"/>
          <w:sz w:val="24"/>
          <w:szCs w:val="24"/>
        </w:rPr>
        <w:t>transferring</w:t>
      </w:r>
      <w:r w:rsidRPr="00D54C6E">
        <w:rPr>
          <w:rFonts w:ascii="Arial" w:eastAsia="Arial" w:hAnsi="Arial" w:cs="Arial"/>
          <w:color w:val="000000"/>
          <w:sz w:val="24"/>
          <w:szCs w:val="24"/>
        </w:rPr>
        <w:t xml:space="preserve"> Party has provided appropriate safeguards in relation to the transfer (whether in accordance with Article 46 of the UK GDPR or DPA 2018 Section 75 and/or Article 46 of the EU GDPR (where </w:t>
      </w:r>
      <w:r w:rsidR="009B0AA3" w:rsidRPr="00D54C6E">
        <w:rPr>
          <w:rFonts w:ascii="Arial" w:eastAsia="Arial" w:hAnsi="Arial" w:cs="Arial"/>
          <w:color w:val="000000"/>
          <w:sz w:val="24"/>
          <w:szCs w:val="24"/>
        </w:rPr>
        <w:t>applicable</w:t>
      </w:r>
      <w:r w:rsidRPr="00D54C6E">
        <w:rPr>
          <w:rFonts w:ascii="Arial" w:eastAsia="Arial" w:hAnsi="Arial" w:cs="Arial"/>
          <w:color w:val="000000"/>
          <w:sz w:val="24"/>
          <w:szCs w:val="24"/>
        </w:rPr>
        <w:t>)) as agreed with the non-transferring Party which could include:</w:t>
      </w:r>
    </w:p>
    <w:p w14:paraId="000000D5" w14:textId="2F1C5AF5" w:rsidR="00271DE7" w:rsidRDefault="00281B0B" w:rsidP="00D54C6E">
      <w:pPr>
        <w:numPr>
          <w:ilvl w:val="4"/>
          <w:numId w:val="6"/>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UK GDPR:</w:t>
      </w:r>
      <w:bookmarkStart w:id="44" w:name="_heading=h.pmg5zsidydcq" w:colFirst="0" w:colLast="0"/>
      <w:bookmarkEnd w:id="44"/>
    </w:p>
    <w:p w14:paraId="000000D6" w14:textId="40015A12" w:rsidR="00271DE7" w:rsidRDefault="00281B0B" w:rsidP="00D54C6E">
      <w:pPr>
        <w:numPr>
          <w:ilvl w:val="5"/>
          <w:numId w:val="6"/>
        </w:numPr>
        <w:pBdr>
          <w:top w:val="nil"/>
          <w:left w:val="nil"/>
          <w:bottom w:val="nil"/>
          <w:right w:val="nil"/>
          <w:between w:val="nil"/>
        </w:pBdr>
        <w:spacing w:before="120" w:after="120" w:line="240" w:lineRule="auto"/>
        <w:ind w:left="3960"/>
      </w:pPr>
      <w:r w:rsidRPr="00D54C6E">
        <w:rPr>
          <w:rFonts w:ascii="Arial" w:eastAsia="Arial" w:hAnsi="Arial" w:cs="Arial"/>
          <w:color w:val="000000"/>
          <w:sz w:val="24"/>
          <w:szCs w:val="24"/>
        </w:rPr>
        <w:t xml:space="preserve">the UK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under section 119A(1) of the DPA 2018 from time to time; or</w:t>
      </w:r>
      <w:bookmarkStart w:id="45" w:name="_heading=h.labkwfevw4xj" w:colFirst="0" w:colLast="0"/>
      <w:bookmarkEnd w:id="45"/>
    </w:p>
    <w:p w14:paraId="000000D7" w14:textId="4CF5B801" w:rsidR="00271DE7" w:rsidRDefault="00281B0B" w:rsidP="00D54C6E">
      <w:pPr>
        <w:numPr>
          <w:ilvl w:val="5"/>
          <w:numId w:val="6"/>
        </w:numPr>
        <w:pBdr>
          <w:top w:val="nil"/>
          <w:left w:val="nil"/>
          <w:bottom w:val="nil"/>
          <w:right w:val="nil"/>
          <w:between w:val="nil"/>
        </w:pBdr>
        <w:spacing w:before="120" w:after="120" w:line="240" w:lineRule="auto"/>
        <w:ind w:left="3960"/>
      </w:pPr>
      <w:r w:rsidRPr="00D54C6E">
        <w:rPr>
          <w:rFonts w:ascii="Arial" w:eastAsia="Arial" w:hAnsi="Arial" w:cs="Arial"/>
          <w:color w:val="000000"/>
          <w:sz w:val="24"/>
          <w:szCs w:val="24"/>
        </w:rPr>
        <w:t xml:space="preserve">the European Commission’s Standard </w:t>
      </w:r>
      <w:bookmarkStart w:id="46" w:name="_heading=h.u4b0hpu0th1e" w:colFirst="0" w:colLast="0"/>
      <w:bookmarkEnd w:id="46"/>
      <w:r w:rsidRPr="00D54C6E">
        <w:rPr>
          <w:rFonts w:ascii="Arial" w:eastAsia="Arial" w:hAnsi="Arial" w:cs="Arial"/>
          <w:color w:val="000000"/>
          <w:sz w:val="24"/>
          <w:szCs w:val="24"/>
        </w:rPr>
        <w:t xml:space="preserve">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D54C6E">
        <w:rPr>
          <w:rFonts w:ascii="Arial" w:eastAsia="Arial" w:hAnsi="Arial" w:cs="Arial"/>
          <w:b/>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D8" w14:textId="6CB6F991" w:rsidR="00271DE7" w:rsidRDefault="00281B0B" w:rsidP="00D54C6E">
      <w:pPr>
        <w:numPr>
          <w:ilvl w:val="4"/>
          <w:numId w:val="6"/>
        </w:numPr>
        <w:pBdr>
          <w:top w:val="nil"/>
          <w:left w:val="nil"/>
          <w:bottom w:val="nil"/>
          <w:right w:val="nil"/>
          <w:between w:val="nil"/>
        </w:pBdr>
        <w:spacing w:before="120" w:after="120" w:line="240" w:lineRule="auto"/>
        <w:ind w:hanging="705"/>
        <w:rPr>
          <w:rFonts w:ascii="Arial" w:eastAsia="Arial" w:hAnsi="Arial" w:cs="Arial"/>
          <w:sz w:val="24"/>
          <w:szCs w:val="24"/>
        </w:rPr>
      </w:pPr>
      <w:r w:rsidRPr="00D54C6E">
        <w:rPr>
          <w:rFonts w:ascii="Arial" w:eastAsia="Arial" w:hAnsi="Arial" w:cs="Arial"/>
          <w:color w:val="000000"/>
          <w:sz w:val="24"/>
          <w:szCs w:val="24"/>
        </w:rPr>
        <w:t>where the transfer is subject to EU GDPR, the EU SCCs,</w:t>
      </w:r>
      <w:bookmarkStart w:id="47" w:name="_heading=h.3xdkqfux5h4" w:colFirst="0" w:colLast="0"/>
      <w:bookmarkEnd w:id="47"/>
    </w:p>
    <w:p w14:paraId="000000D9" w14:textId="253CC096" w:rsidR="00271DE7" w:rsidRPr="00831C67" w:rsidRDefault="00281B0B" w:rsidP="004D7A45">
      <w:pPr>
        <w:pBdr>
          <w:top w:val="nil"/>
          <w:left w:val="nil"/>
          <w:bottom w:val="nil"/>
          <w:right w:val="nil"/>
          <w:between w:val="nil"/>
        </w:pBdr>
        <w:spacing w:before="120" w:after="120" w:line="240" w:lineRule="auto"/>
        <w:ind w:left="2606"/>
        <w:rPr>
          <w:rFonts w:ascii="Arial" w:eastAsia="Arial" w:hAnsi="Arial" w:cs="Arial"/>
          <w:color w:val="000000"/>
          <w:sz w:val="24"/>
          <w:szCs w:val="24"/>
        </w:rPr>
      </w:pPr>
      <w:bookmarkStart w:id="48" w:name="_heading=h.1ksv4uv" w:colFirst="0" w:colLast="0"/>
      <w:bookmarkEnd w:id="48"/>
      <w:r w:rsidRPr="00D54C6E">
        <w:rPr>
          <w:rFonts w:ascii="Arial" w:eastAsia="Arial" w:hAnsi="Arial" w:cs="Arial"/>
          <w:color w:val="000000"/>
          <w:sz w:val="24"/>
          <w:szCs w:val="24"/>
        </w:rPr>
        <w:t>as well as any additional measures determined by the Controller being implemented by the importing party;</w:t>
      </w:r>
    </w:p>
    <w:p w14:paraId="000000DA" w14:textId="03EF69EB" w:rsidR="00271DE7" w:rsidRPr="00831C6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DB" w14:textId="27B0EBDA" w:rsidR="00271DE7" w:rsidRPr="00831C6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DC" w14:textId="389D970C" w:rsidR="00271DE7" w:rsidRDefault="00281B0B" w:rsidP="00831C67">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the transferring Party complies with any reasonable instructions notified to it in advance by the non-transferring Party with respect to the processing of the Personal Data.</w:t>
      </w:r>
    </w:p>
    <w:p w14:paraId="000000E3" w14:textId="52B8D86B"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Each Joint Controller shall use best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R="007B1E8A">
        <w:rPr>
          <w:rFonts w:ascii="Arial" w:eastAsia="Arial" w:hAnsi="Arial" w:cs="Arial"/>
          <w:color w:val="000000"/>
          <w:sz w:val="24"/>
          <w:szCs w:val="24"/>
        </w:rPr>
        <w:t>.</w:t>
      </w:r>
    </w:p>
    <w:p w14:paraId="000000E4" w14:textId="62B6BDC3"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Data Protection Breach</w:t>
      </w:r>
    </w:p>
    <w:p w14:paraId="000000E5" w14:textId="32451062" w:rsidR="00271DE7" w:rsidRDefault="00281B0B" w:rsidP="00D54C6E">
      <w:pPr>
        <w:keepNext/>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Without prejudice to Paragraph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_Ref141095654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3.2</w:t>
      </w:r>
      <w:r w:rsidR="00831C67">
        <w:rPr>
          <w:rFonts w:ascii="Arial" w:eastAsia="Arial" w:hAnsi="Arial" w:cs="Arial"/>
          <w:color w:val="000000"/>
          <w:sz w:val="24"/>
          <w:szCs w:val="24"/>
        </w:rPr>
        <w:fldChar w:fldCharType="end"/>
      </w:r>
      <w:r>
        <w:rPr>
          <w:rFonts w:ascii="Arial" w:eastAsia="Arial" w:hAnsi="Arial" w:cs="Arial"/>
          <w:color w:val="000000"/>
          <w:sz w:val="24"/>
          <w:szCs w:val="24"/>
        </w:rPr>
        <w:t>, each Party shall notify the other Party promptly, and in any event within 48 hours, on becoming aware of any Data Loss Event or circumstances that are likely to give rise to a Data Loss Event, providing the Buyer and its advisors with:</w:t>
      </w:r>
    </w:p>
    <w:p w14:paraId="000000E6" w14:textId="3F34C209"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sufficient information and in a timescale which allows the other Party to meet any obligations to report a Data Loss Event under the Data Protection Legislation;</w:t>
      </w:r>
    </w:p>
    <w:p w14:paraId="000000E7" w14:textId="103AE594" w:rsidR="00271DE7" w:rsidRDefault="00281B0B" w:rsidP="00D54C6E">
      <w:pPr>
        <w:keepNext/>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reasonable assistance, including:</w:t>
      </w:r>
    </w:p>
    <w:p w14:paraId="000000E8" w14:textId="6604A8FC" w:rsidR="00271DE7" w:rsidRPr="00831C67" w:rsidRDefault="00281B0B" w:rsidP="00831C67">
      <w:pPr>
        <w:pStyle w:val="ScheduleUntitledsubclause1"/>
        <w:numPr>
          <w:ilvl w:val="3"/>
          <w:numId w:val="16"/>
        </w:numPr>
        <w:pBdr>
          <w:top w:val="nil"/>
          <w:left w:val="nil"/>
          <w:bottom w:val="nil"/>
          <w:right w:val="nil"/>
          <w:between w:val="nil"/>
        </w:pBdr>
        <w:spacing w:before="120" w:line="240" w:lineRule="auto"/>
        <w:rPr>
          <w:rFonts w:eastAsia="Arial" w:cs="Arial"/>
          <w:sz w:val="24"/>
          <w:szCs w:val="24"/>
        </w:rPr>
      </w:pPr>
      <w:r w:rsidRPr="00831C67">
        <w:rPr>
          <w:rFonts w:eastAsia="Arial" w:cs="Arial"/>
          <w:sz w:val="24"/>
          <w:szCs w:val="24"/>
        </w:rPr>
        <w:t>co-operation with the other Party and the Information Commissioner investigating the Data Loss Event and its cause, containing and recovering the compromised Personal Data and compliance with the applicable guidance;</w:t>
      </w:r>
    </w:p>
    <w:p w14:paraId="000000E9" w14:textId="661163DF"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co-operation with the other Party including using such best endeavours as are directed by the Buyer to assist in the investigation, mitigation and remediation of a Data Loss Event;</w:t>
      </w:r>
    </w:p>
    <w:p w14:paraId="000000EA" w14:textId="443141FF"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Data Loss Event; and/or</w:t>
      </w:r>
    </w:p>
    <w:p w14:paraId="000000EB" w14:textId="711BCA9B" w:rsidR="00271DE7" w:rsidRDefault="00281B0B" w:rsidP="00831C67">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Data Loss Event, with complete information relating to the Data Loss Event, including, without limitation, the information set out in Paragraph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_Ref141095654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3.2</w:t>
      </w:r>
      <w:r w:rsidR="00831C67">
        <w:rPr>
          <w:rFonts w:ascii="Arial" w:eastAsia="Arial" w:hAnsi="Arial" w:cs="Arial"/>
          <w:color w:val="000000"/>
          <w:sz w:val="24"/>
          <w:szCs w:val="24"/>
        </w:rPr>
        <w:fldChar w:fldCharType="end"/>
      </w:r>
      <w:r>
        <w:rPr>
          <w:rFonts w:ascii="Arial" w:eastAsia="Arial" w:hAnsi="Arial" w:cs="Arial"/>
          <w:color w:val="000000"/>
          <w:sz w:val="24"/>
          <w:szCs w:val="24"/>
        </w:rPr>
        <w:t>.</w:t>
      </w:r>
    </w:p>
    <w:p w14:paraId="000000EC" w14:textId="32CB3CF8" w:rsidR="00271DE7" w:rsidRDefault="00281B0B" w:rsidP="00D54C6E">
      <w:pPr>
        <w:keepNext/>
        <w:numPr>
          <w:ilvl w:val="1"/>
          <w:numId w:val="6"/>
        </w:numPr>
        <w:pBdr>
          <w:top w:val="nil"/>
          <w:left w:val="nil"/>
          <w:bottom w:val="nil"/>
          <w:right w:val="nil"/>
          <w:between w:val="nil"/>
        </w:pBdr>
        <w:spacing w:before="120" w:after="120" w:line="240" w:lineRule="auto"/>
      </w:pPr>
      <w:bookmarkStart w:id="49" w:name="_heading=h.2jxsxqh" w:colFirst="0" w:colLast="0"/>
      <w:bookmarkStart w:id="50" w:name="_Ref141095654"/>
      <w:bookmarkEnd w:id="49"/>
      <w:r>
        <w:rPr>
          <w:rFonts w:ascii="Arial" w:eastAsia="Arial" w:hAnsi="Arial" w:cs="Arial"/>
          <w:color w:val="000000"/>
          <w:sz w:val="24"/>
          <w:szCs w:val="24"/>
        </w:rPr>
        <w:t xml:space="preserve">Each Party shall use </w:t>
      </w:r>
      <w:r w:rsidR="00E37793">
        <w:rPr>
          <w:rFonts w:ascii="Arial" w:eastAsia="Arial" w:hAnsi="Arial" w:cs="Arial"/>
          <w:color w:val="000000"/>
          <w:sz w:val="24"/>
          <w:szCs w:val="24"/>
        </w:rPr>
        <w:t xml:space="preserve">its </w:t>
      </w:r>
      <w:r>
        <w:rPr>
          <w:rFonts w:ascii="Arial" w:eastAsia="Arial" w:hAnsi="Arial" w:cs="Arial"/>
          <w:color w:val="000000"/>
          <w:sz w:val="24"/>
          <w:szCs w:val="24"/>
        </w:rPr>
        <w:t>best endeavours to restore, re-constitute and/or reconstruct any Personal Data where it has  lost, damaged, destroyed, altered or corrupted as a result of a Data Loss Event which is the fault of that Party as if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bookmarkEnd w:id="50"/>
    </w:p>
    <w:p w14:paraId="000000ED" w14:textId="42C402EB"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nature of the Data Loss Event; </w:t>
      </w:r>
    </w:p>
    <w:p w14:paraId="000000EE" w14:textId="7B5EE15F"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Personal Data affected;</w:t>
      </w:r>
    </w:p>
    <w:p w14:paraId="000000EF" w14:textId="59C49EF8"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categories and number of Data Subjects concerned;</w:t>
      </w:r>
    </w:p>
    <w:p w14:paraId="000000F0" w14:textId="621B93AE"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name and contact details of the Supplier’s Data Protection Officer or other relevant contact from whom more information may be obtained;</w:t>
      </w:r>
    </w:p>
    <w:p w14:paraId="000000F1" w14:textId="74B0C836"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measures taken or proposed to be taken to address the Data Loss Event; and</w:t>
      </w:r>
    </w:p>
    <w:p w14:paraId="000000F2" w14:textId="3CFDAD76"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describe the likely consequences of the Data Loss Event.</w:t>
      </w:r>
    </w:p>
    <w:p w14:paraId="000000F3" w14:textId="3FA1078C"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Audit</w:t>
      </w:r>
    </w:p>
    <w:p w14:paraId="000000F4" w14:textId="3AC4446F" w:rsidR="00271DE7" w:rsidRDefault="00281B0B" w:rsidP="00D54C6E">
      <w:pPr>
        <w:keepNext/>
        <w:numPr>
          <w:ilvl w:val="1"/>
          <w:numId w:val="6"/>
        </w:numPr>
        <w:pBdr>
          <w:top w:val="nil"/>
          <w:left w:val="nil"/>
          <w:bottom w:val="nil"/>
          <w:right w:val="nil"/>
          <w:between w:val="nil"/>
        </w:pBdr>
        <w:spacing w:before="120" w:after="120" w:line="240" w:lineRule="auto"/>
      </w:pPr>
      <w:bookmarkStart w:id="51" w:name="_heading=h.z337ya" w:colFirst="0" w:colLast="0"/>
      <w:bookmarkStart w:id="52" w:name="_Ref141095717"/>
      <w:bookmarkEnd w:id="51"/>
      <w:r>
        <w:rPr>
          <w:rFonts w:ascii="Arial" w:eastAsia="Arial" w:hAnsi="Arial" w:cs="Arial"/>
          <w:color w:val="000000"/>
          <w:sz w:val="24"/>
          <w:szCs w:val="24"/>
        </w:rPr>
        <w:t>The Supplier shall permit:</w:t>
      </w:r>
      <w:bookmarkEnd w:id="52"/>
    </w:p>
    <w:p w14:paraId="000000F5" w14:textId="70498615"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w:t>
      </w:r>
      <w:r w:rsidR="00831C67" w:rsidRPr="00831C67">
        <w:rPr>
          <w:rFonts w:eastAsia="Arial" w:cs="Arial"/>
          <w:sz w:val="24"/>
          <w:szCs w:val="24"/>
        </w:rPr>
        <w:fldChar w:fldCharType="begin"/>
      </w:r>
      <w:r w:rsidR="00831C67" w:rsidRPr="00831C67">
        <w:rPr>
          <w:rFonts w:eastAsia="Arial" w:cs="Arial"/>
          <w:sz w:val="24"/>
          <w:szCs w:val="24"/>
        </w:rPr>
        <w:instrText xml:space="preserve"> REF Ann_2 \h  \* MERGEFORMAT </w:instrText>
      </w:r>
      <w:r w:rsidR="00831C67" w:rsidRPr="00831C67">
        <w:rPr>
          <w:rFonts w:eastAsia="Arial" w:cs="Arial"/>
          <w:sz w:val="24"/>
          <w:szCs w:val="24"/>
        </w:rPr>
      </w:r>
      <w:r w:rsidR="00831C67" w:rsidRPr="00831C67">
        <w:rPr>
          <w:rFonts w:eastAsia="Arial" w:cs="Arial"/>
          <w:sz w:val="24"/>
          <w:szCs w:val="24"/>
        </w:rPr>
        <w:fldChar w:fldCharType="separate"/>
      </w:r>
      <w:r w:rsidR="00831C67" w:rsidRPr="00831C67">
        <w:rPr>
          <w:rFonts w:ascii="Arial" w:eastAsia="Arial" w:hAnsi="Arial" w:cs="Arial"/>
          <w:color w:val="000000"/>
          <w:sz w:val="24"/>
          <w:szCs w:val="24"/>
        </w:rPr>
        <w:t>2</w:t>
      </w:r>
      <w:r w:rsidR="00831C67" w:rsidRPr="00831C67">
        <w:rPr>
          <w:rFonts w:eastAsia="Arial" w:cs="Arial"/>
          <w:sz w:val="24"/>
          <w:szCs w:val="24"/>
        </w:rPr>
        <w:fldChar w:fldCharType="end"/>
      </w:r>
      <w:r>
        <w:rPr>
          <w:rFonts w:ascii="Arial" w:eastAsia="Arial" w:hAnsi="Arial" w:cs="Arial"/>
          <w:color w:val="000000"/>
          <w:sz w:val="24"/>
          <w:szCs w:val="24"/>
        </w:rPr>
        <w:t xml:space="preserve"> and the Data Protection Legislation; and/or</w:t>
      </w:r>
    </w:p>
    <w:p w14:paraId="000000F6" w14:textId="64774A74"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w:t>
      </w:r>
      <w:r w:rsidR="00AC431B">
        <w:rPr>
          <w:rFonts w:ascii="Arial" w:eastAsia="Arial" w:hAnsi="Arial" w:cs="Arial"/>
          <w:color w:val="000000"/>
          <w:sz w:val="24"/>
          <w:szCs w:val="24"/>
        </w:rPr>
        <w:t>th</w:t>
      </w:r>
      <w:r w:rsidR="00FB3AD4">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and procedures, including premises under the control of any third party appointed by the Supplier to assist in the provision of the Services. </w:t>
      </w:r>
    </w:p>
    <w:p w14:paraId="000000F7" w14:textId="3420A2E2"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The Buyer may, in its sole discretion, require the Supplier to provide evidence of the Supplier’s compliance with Paragraph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_Ref141095717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4.1</w:t>
      </w:r>
      <w:r w:rsidR="00831C67">
        <w:rPr>
          <w:rFonts w:ascii="Arial" w:eastAsia="Arial" w:hAnsi="Arial" w:cs="Arial"/>
          <w:color w:val="000000"/>
          <w:sz w:val="24"/>
          <w:szCs w:val="24"/>
        </w:rPr>
        <w:fldChar w:fldCharType="end"/>
      </w:r>
      <w:r w:rsidR="00831C67">
        <w:rPr>
          <w:rFonts w:ascii="Arial" w:eastAsia="Arial" w:hAnsi="Arial" w:cs="Arial"/>
          <w:color w:val="000000"/>
          <w:sz w:val="24"/>
          <w:szCs w:val="24"/>
        </w:rPr>
        <w:t xml:space="preserve"> </w:t>
      </w:r>
      <w:r>
        <w:rPr>
          <w:rFonts w:ascii="Arial" w:eastAsia="Arial" w:hAnsi="Arial" w:cs="Arial"/>
          <w:color w:val="000000"/>
          <w:sz w:val="24"/>
          <w:szCs w:val="24"/>
        </w:rPr>
        <w:t>in lieu of conducting such an audit, assessment or inspection.</w:t>
      </w:r>
    </w:p>
    <w:p w14:paraId="000000F8" w14:textId="4F5C8CD4"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Impact Assessments</w:t>
      </w:r>
    </w:p>
    <w:p w14:paraId="000000F9" w14:textId="06E2CB1B" w:rsidR="00271DE7" w:rsidRDefault="00281B0B">
      <w:pPr>
        <w:keepNext/>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Parties shall:</w:t>
      </w:r>
    </w:p>
    <w:p w14:paraId="000000FA" w14:textId="67615C84"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00000FB" w14:textId="306C8B4B"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maintain full and complete records of all Processing carried out in respect of the Personal Data in connection with </w:t>
      </w:r>
      <w:r w:rsidR="00AC431B">
        <w:rPr>
          <w:rFonts w:ascii="Arial" w:eastAsia="Arial" w:hAnsi="Arial" w:cs="Arial"/>
          <w:color w:val="000000"/>
          <w:sz w:val="24"/>
          <w:szCs w:val="24"/>
        </w:rPr>
        <w:t>th</w:t>
      </w:r>
      <w:r w:rsidR="00C45528">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in accordance with the terms of Article 30 UK GDPR.</w:t>
      </w:r>
    </w:p>
    <w:p w14:paraId="000000FC" w14:textId="0C940C7C"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ICO Guidance </w:t>
      </w:r>
    </w:p>
    <w:p w14:paraId="000000FD" w14:textId="60419558" w:rsidR="00271DE7" w:rsidRDefault="00281B0B" w:rsidP="00831C67">
      <w:pPr>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The Parties</w:t>
      </w:r>
      <w:r w:rsidR="00C45528">
        <w:rPr>
          <w:rFonts w:ascii="Arial" w:eastAsia="Arial" w:hAnsi="Arial" w:cs="Arial"/>
          <w:color w:val="000000"/>
          <w:sz w:val="24"/>
          <w:szCs w:val="24"/>
        </w:rPr>
        <w:t xml:space="preserve"> shall</w:t>
      </w:r>
      <w:r>
        <w:rPr>
          <w:rFonts w:ascii="Arial" w:eastAsia="Arial" w:hAnsi="Arial" w:cs="Arial"/>
          <w:color w:val="000000"/>
          <w:sz w:val="24"/>
          <w:szCs w:val="24"/>
        </w:rPr>
        <w:t xml:space="preserve"> take account of any guidance issued by the Information Commissioner, or any other regulatory authority. The Buyer may on not less than 30 Working Days’ notice to the Supplier amend </w:t>
      </w:r>
      <w:r w:rsidR="00AC431B">
        <w:rPr>
          <w:rFonts w:ascii="Arial" w:eastAsia="Arial" w:hAnsi="Arial" w:cs="Arial"/>
          <w:color w:val="000000"/>
          <w:sz w:val="24"/>
          <w:szCs w:val="24"/>
        </w:rPr>
        <w:t>th</w:t>
      </w:r>
      <w:r w:rsidR="00C45528">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to ensure that it complies with any guidance issued by the Information Commissioner, or any other regulatory authority.</w:t>
      </w:r>
    </w:p>
    <w:p w14:paraId="000000FE" w14:textId="3B3B94B2"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Liabilities for Data Protection Breach</w:t>
      </w:r>
    </w:p>
    <w:p w14:paraId="000000FF" w14:textId="2EFAA14C" w:rsidR="00271DE7" w:rsidRDefault="00281B0B" w:rsidP="00831C67">
      <w:pPr>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b/>
          <w:i/>
          <w:color w:val="000000"/>
          <w:sz w:val="24"/>
          <w:szCs w:val="24"/>
          <w:highlight w:val="yellow"/>
        </w:rPr>
        <w:t>[Guidance: This Paragraph represents a risk share, you may wish to reconsider the apportionment of liability and whether recoverability of losses are likely to be hindered by the contractual limitation of liability provisions]</w:t>
      </w:r>
      <w:r>
        <w:rPr>
          <w:rFonts w:ascii="Arial" w:eastAsia="Arial" w:hAnsi="Arial" w:cs="Arial"/>
          <w:b/>
          <w:i/>
          <w:color w:val="000000"/>
          <w:sz w:val="24"/>
          <w:szCs w:val="24"/>
        </w:rPr>
        <w:t xml:space="preserve"> </w:t>
      </w:r>
    </w:p>
    <w:p w14:paraId="00000100" w14:textId="191E63E0" w:rsidR="00271DE7" w:rsidRDefault="00281B0B" w:rsidP="00D54C6E">
      <w:pPr>
        <w:keepNext/>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If financial penalties are imposed by the Information Commissioner on either the Buyer or the Supplier for a Data Loss Event (</w:t>
      </w:r>
      <w:r w:rsidR="003B70CC">
        <w:rPr>
          <w:rFonts w:ascii="Arial" w:eastAsia="Arial" w:hAnsi="Arial" w:cs="Arial"/>
          <w:color w:val="000000"/>
          <w:sz w:val="24"/>
          <w:szCs w:val="24"/>
        </w:rPr>
        <w:t>"</w:t>
      </w:r>
      <w:r>
        <w:rPr>
          <w:rFonts w:ascii="Arial" w:eastAsia="Arial" w:hAnsi="Arial" w:cs="Arial"/>
          <w:b/>
          <w:color w:val="000000"/>
          <w:sz w:val="24"/>
          <w:szCs w:val="24"/>
        </w:rPr>
        <w:t>Financial Penalties</w:t>
      </w:r>
      <w:r w:rsidR="003B70CC">
        <w:rPr>
          <w:rFonts w:ascii="Arial" w:eastAsia="Arial" w:hAnsi="Arial" w:cs="Arial"/>
          <w:color w:val="000000"/>
          <w:sz w:val="24"/>
          <w:szCs w:val="24"/>
        </w:rPr>
        <w:t>"</w:t>
      </w:r>
      <w:r>
        <w:rPr>
          <w:rFonts w:ascii="Arial" w:eastAsia="Arial" w:hAnsi="Arial" w:cs="Arial"/>
          <w:color w:val="000000"/>
          <w:sz w:val="24"/>
          <w:szCs w:val="24"/>
        </w:rPr>
        <w:t>) then the following shall occur:</w:t>
      </w:r>
    </w:p>
    <w:p w14:paraId="00000101" w14:textId="7CAAF34B"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in the view of the Information Commissioner, the Buyer is responsible for the Data Loss Event,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Data Loss Event. The Supplier shall provide to the Buyer and its third</w:t>
      </w:r>
      <w:r w:rsidR="0021268E">
        <w:rPr>
          <w:rFonts w:ascii="Arial" w:eastAsia="Arial" w:hAnsi="Arial" w:cs="Arial"/>
          <w:color w:val="000000"/>
          <w:sz w:val="24"/>
          <w:szCs w:val="24"/>
        </w:rPr>
        <w:t>-</w:t>
      </w:r>
      <w:r>
        <w:rPr>
          <w:rFonts w:ascii="Arial" w:eastAsia="Arial" w:hAnsi="Arial" w:cs="Arial"/>
          <w:color w:val="000000"/>
          <w:sz w:val="24"/>
          <w:szCs w:val="24"/>
        </w:rPr>
        <w:t xml:space="preserve">party investigators and auditors, on request and at the Supplier's reasonable cost, full cooperation and access to conduct a thorough audit of such Data Loss Event; </w:t>
      </w:r>
    </w:p>
    <w:p w14:paraId="00000102" w14:textId="313C01EC"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in the view of the Information Commissioner, the Supplier is responsible for the Data Loss Event, in that it is not a Data Loss Event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Data Loss Event; or</w:t>
      </w:r>
    </w:p>
    <w:p w14:paraId="00000103" w14:textId="592B0148"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if no view as to responsibility is expressed by the Information Commissioner, then the Buyer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39 (Resolving disputes). </w:t>
      </w:r>
    </w:p>
    <w:p w14:paraId="00000104" w14:textId="7EC0DD00" w:rsidR="00271DE7" w:rsidRDefault="00281B0B" w:rsidP="00D54C6E">
      <w:pPr>
        <w:numPr>
          <w:ilvl w:val="1"/>
          <w:numId w:val="6"/>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53" w:name="_heading=h.3j2qqm3" w:colFirst="0" w:colLast="0"/>
      <w:bookmarkStart w:id="54" w:name="_Ref141095763"/>
      <w:bookmarkEnd w:id="53"/>
      <w:r>
        <w:rPr>
          <w:rFonts w:ascii="Arial" w:eastAsia="Arial" w:hAnsi="Arial" w:cs="Arial"/>
          <w:color w:val="000000"/>
          <w:sz w:val="24"/>
          <w:szCs w:val="24"/>
        </w:rPr>
        <w:t>If either the Buyer or the Supplier is the defendant in a legal claim brought before a court of competent jurisdiction (</w:t>
      </w:r>
      <w:r w:rsidR="003B70CC">
        <w:rPr>
          <w:rFonts w:ascii="Arial" w:eastAsia="Arial" w:hAnsi="Arial" w:cs="Arial"/>
          <w:color w:val="000000"/>
          <w:sz w:val="24"/>
          <w:szCs w:val="24"/>
        </w:rPr>
        <w:t>"</w:t>
      </w:r>
      <w:r w:rsidRPr="00831C67">
        <w:rPr>
          <w:rFonts w:ascii="Arial" w:eastAsia="Arial" w:hAnsi="Arial" w:cs="Arial"/>
          <w:b/>
          <w:bCs/>
          <w:color w:val="000000"/>
          <w:sz w:val="24"/>
          <w:szCs w:val="24"/>
        </w:rPr>
        <w:t>Court</w:t>
      </w:r>
      <w:r w:rsidR="003B70CC">
        <w:rPr>
          <w:rFonts w:ascii="Arial" w:eastAsia="Arial" w:hAnsi="Arial" w:cs="Arial"/>
          <w:color w:val="000000"/>
          <w:sz w:val="24"/>
          <w:szCs w:val="24"/>
        </w:rPr>
        <w:t>"</w:t>
      </w:r>
      <w:r>
        <w:rPr>
          <w:rFonts w:ascii="Arial" w:eastAsia="Arial" w:hAnsi="Arial" w:cs="Arial"/>
          <w:color w:val="000000"/>
          <w:sz w:val="24"/>
          <w:szCs w:val="24"/>
        </w:rPr>
        <w: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w:t>
      </w:r>
      <w:bookmarkEnd w:id="54"/>
      <w:r>
        <w:rPr>
          <w:rFonts w:ascii="Arial" w:eastAsia="Arial" w:hAnsi="Arial" w:cs="Arial"/>
          <w:color w:val="000000"/>
          <w:sz w:val="24"/>
          <w:szCs w:val="24"/>
        </w:rPr>
        <w:t xml:space="preserve">  </w:t>
      </w:r>
    </w:p>
    <w:p w14:paraId="00000105" w14:textId="47EB3EF0" w:rsidR="00271DE7" w:rsidRDefault="00281B0B" w:rsidP="00D54C6E">
      <w:pPr>
        <w:keepNext/>
        <w:numPr>
          <w:ilvl w:val="1"/>
          <w:numId w:val="6"/>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55" w:name="_heading=h.1y810tw" w:colFirst="0" w:colLast="0"/>
      <w:bookmarkStart w:id="56" w:name="_Ref141095768"/>
      <w:bookmarkEnd w:id="55"/>
      <w:r>
        <w:rPr>
          <w:rFonts w:ascii="Arial" w:eastAsia="Arial" w:hAnsi="Arial" w:cs="Arial"/>
          <w:color w:val="000000"/>
          <w:sz w:val="24"/>
          <w:szCs w:val="24"/>
        </w:rPr>
        <w:t xml:space="preserve">In respect of any losses, cost claims or expenses incurred by either Party as a result of a Data Loss Event (the </w:t>
      </w:r>
      <w:r w:rsidR="003B70CC">
        <w:rPr>
          <w:rFonts w:ascii="Arial" w:eastAsia="Arial" w:hAnsi="Arial" w:cs="Arial"/>
          <w:color w:val="000000"/>
          <w:sz w:val="24"/>
          <w:szCs w:val="24"/>
        </w:rPr>
        <w:t>"</w:t>
      </w:r>
      <w:r w:rsidRPr="00831C67">
        <w:rPr>
          <w:rFonts w:ascii="Arial" w:eastAsia="Arial" w:hAnsi="Arial" w:cs="Arial"/>
          <w:b/>
          <w:bCs/>
          <w:color w:val="000000"/>
          <w:sz w:val="24"/>
          <w:szCs w:val="24"/>
        </w:rPr>
        <w:t>Claim Losses</w:t>
      </w:r>
      <w:r w:rsidR="003B70CC">
        <w:rPr>
          <w:rFonts w:ascii="Arial" w:eastAsia="Arial" w:hAnsi="Arial" w:cs="Arial"/>
          <w:color w:val="000000"/>
          <w:sz w:val="24"/>
          <w:szCs w:val="24"/>
        </w:rPr>
        <w:t>"</w:t>
      </w:r>
      <w:r>
        <w:rPr>
          <w:rFonts w:ascii="Arial" w:eastAsia="Arial" w:hAnsi="Arial" w:cs="Arial"/>
          <w:color w:val="000000"/>
          <w:sz w:val="24"/>
          <w:szCs w:val="24"/>
        </w:rPr>
        <w:t>):</w:t>
      </w:r>
      <w:bookmarkEnd w:id="56"/>
    </w:p>
    <w:p w14:paraId="00000106" w14:textId="26DA536F"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is responsible for the relevant Data Loss Event, then the Buyer shall be responsible for the Claim Losses;</w:t>
      </w:r>
    </w:p>
    <w:p w14:paraId="00000107" w14:textId="20BF7F6D"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Supplier is responsible for the relevant Data Loss Event, then the Supplier shall be responsible for the Claim Losses: and</w:t>
      </w:r>
    </w:p>
    <w:p w14:paraId="00000108" w14:textId="6D88319E" w:rsidR="00271DE7" w:rsidRDefault="00281B0B" w:rsidP="00D54C6E">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responsibility for the relevant Data Loss Event is unclear, then the Buyer and the Supplier shall be responsible for the Claim Losses equally. </w:t>
      </w:r>
    </w:p>
    <w:p w14:paraId="00000109" w14:textId="7B1675C4"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Nothing in either Paragraph</w:t>
      </w:r>
      <w:r w:rsidR="00831C67">
        <w:rPr>
          <w:rFonts w:ascii="Arial" w:eastAsia="Arial" w:hAnsi="Arial" w:cs="Arial"/>
          <w:color w:val="000000"/>
          <w:sz w:val="24"/>
          <w:szCs w:val="24"/>
        </w:rPr>
        <w:t xml:space="preserve"> </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_Ref141095763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7.2</w:t>
      </w:r>
      <w:r w:rsidR="00831C67">
        <w:rPr>
          <w:rFonts w:ascii="Arial" w:eastAsia="Arial" w:hAnsi="Arial" w:cs="Arial"/>
          <w:color w:val="000000"/>
          <w:sz w:val="24"/>
          <w:szCs w:val="24"/>
        </w:rPr>
        <w:fldChar w:fldCharType="end"/>
      </w:r>
      <w:r w:rsidR="00831C67">
        <w:rPr>
          <w:rFonts w:ascii="Arial" w:eastAsia="Arial" w:hAnsi="Arial" w:cs="Arial"/>
          <w:color w:val="000000"/>
          <w:sz w:val="24"/>
          <w:szCs w:val="24"/>
        </w:rPr>
        <w:t xml:space="preserve"> </w:t>
      </w:r>
      <w:r>
        <w:rPr>
          <w:rFonts w:ascii="Arial" w:eastAsia="Arial" w:hAnsi="Arial" w:cs="Arial"/>
          <w:color w:val="000000"/>
          <w:sz w:val="24"/>
          <w:szCs w:val="24"/>
        </w:rPr>
        <w:t>or Paragraph</w:t>
      </w:r>
      <w:r w:rsidR="00831C67">
        <w:rPr>
          <w:rFonts w:ascii="Arial" w:eastAsia="Arial" w:hAnsi="Arial" w:cs="Arial"/>
          <w:color w:val="000000"/>
          <w:sz w:val="24"/>
          <w:szCs w:val="24"/>
        </w:rPr>
        <w:t xml:space="preserve"> </w:t>
      </w:r>
      <w:r>
        <w:rPr>
          <w:rFonts w:ascii="Arial" w:eastAsia="Arial" w:hAnsi="Arial" w:cs="Arial"/>
          <w:color w:val="000000"/>
          <w:sz w:val="24"/>
          <w:szCs w:val="24"/>
        </w:rPr>
        <w:t>‎</w:t>
      </w:r>
      <w:r w:rsidR="00831C67">
        <w:rPr>
          <w:rFonts w:ascii="Arial" w:eastAsia="Arial" w:hAnsi="Arial" w:cs="Arial"/>
          <w:color w:val="000000"/>
          <w:sz w:val="24"/>
          <w:szCs w:val="24"/>
        </w:rPr>
        <w:fldChar w:fldCharType="begin"/>
      </w:r>
      <w:r w:rsidR="00831C67">
        <w:rPr>
          <w:rFonts w:ascii="Arial" w:eastAsia="Arial" w:hAnsi="Arial" w:cs="Arial"/>
          <w:color w:val="000000"/>
          <w:sz w:val="24"/>
          <w:szCs w:val="24"/>
        </w:rPr>
        <w:instrText xml:space="preserve"> REF _Ref141095768 \w \h </w:instrText>
      </w:r>
      <w:r w:rsidR="00831C67">
        <w:rPr>
          <w:rFonts w:ascii="Arial" w:eastAsia="Arial" w:hAnsi="Arial" w:cs="Arial"/>
          <w:color w:val="000000"/>
          <w:sz w:val="24"/>
          <w:szCs w:val="24"/>
        </w:rPr>
      </w:r>
      <w:r w:rsidR="00831C67">
        <w:rPr>
          <w:rFonts w:ascii="Arial" w:eastAsia="Arial" w:hAnsi="Arial" w:cs="Arial"/>
          <w:color w:val="000000"/>
          <w:sz w:val="24"/>
          <w:szCs w:val="24"/>
        </w:rPr>
        <w:fldChar w:fldCharType="separate"/>
      </w:r>
      <w:r w:rsidR="00831C67">
        <w:rPr>
          <w:rFonts w:ascii="Arial" w:eastAsia="Arial" w:hAnsi="Arial" w:cs="Arial"/>
          <w:color w:val="000000"/>
          <w:sz w:val="24"/>
          <w:szCs w:val="24"/>
        </w:rPr>
        <w:t>7.3</w:t>
      </w:r>
      <w:r w:rsidR="00831C67">
        <w:rPr>
          <w:rFonts w:ascii="Arial" w:eastAsia="Arial" w:hAnsi="Arial" w:cs="Arial"/>
          <w:color w:val="000000"/>
          <w:sz w:val="24"/>
          <w:szCs w:val="24"/>
        </w:rPr>
        <w:fldChar w:fldCharType="end"/>
      </w:r>
      <w:r w:rsidR="00402B24">
        <w:rPr>
          <w:rFonts w:ascii="Arial" w:eastAsia="Arial" w:hAnsi="Arial" w:cs="Arial"/>
          <w:color w:val="000000"/>
          <w:sz w:val="24"/>
          <w:szCs w:val="24"/>
        </w:rPr>
        <w:t xml:space="preserve"> </w:t>
      </w:r>
      <w:r>
        <w:rPr>
          <w:rFonts w:ascii="Arial" w:eastAsia="Arial" w:hAnsi="Arial" w:cs="Arial"/>
          <w:color w:val="000000"/>
          <w:sz w:val="24"/>
          <w:szCs w:val="24"/>
        </w:rPr>
        <w:t>preclude</w:t>
      </w:r>
      <w:r w:rsidR="00402B24">
        <w:rPr>
          <w:rFonts w:ascii="Arial" w:eastAsia="Arial" w:hAnsi="Arial" w:cs="Arial"/>
          <w:color w:val="000000"/>
          <w:sz w:val="24"/>
          <w:szCs w:val="24"/>
        </w:rPr>
        <w:t>s</w:t>
      </w:r>
      <w:r>
        <w:rPr>
          <w:rFonts w:ascii="Arial" w:eastAsia="Arial" w:hAnsi="Arial" w:cs="Arial"/>
          <w:color w:val="000000"/>
          <w:sz w:val="24"/>
          <w:szCs w:val="24"/>
        </w:rPr>
        <w:t xml:space="preserve"> the Buyer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Buyer.</w:t>
      </w:r>
    </w:p>
    <w:p w14:paraId="0000010A" w14:textId="1AA1F0D7"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Termination</w:t>
      </w:r>
    </w:p>
    <w:p w14:paraId="0000010B" w14:textId="46945706" w:rsidR="00271DE7" w:rsidRDefault="00281B0B" w:rsidP="0068783C">
      <w:pPr>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If the Supplier is in Material Default under any of its obligations under this Annex </w:t>
      </w:r>
      <w:r w:rsidR="00831C67" w:rsidRPr="00831C67">
        <w:rPr>
          <w:rFonts w:eastAsia="Arial" w:cs="Arial"/>
          <w:sz w:val="24"/>
          <w:szCs w:val="24"/>
        </w:rPr>
        <w:fldChar w:fldCharType="begin"/>
      </w:r>
      <w:r w:rsidR="00831C67" w:rsidRPr="00831C67">
        <w:rPr>
          <w:rFonts w:eastAsia="Arial" w:cs="Arial"/>
          <w:sz w:val="24"/>
          <w:szCs w:val="24"/>
        </w:rPr>
        <w:instrText xml:space="preserve"> REF Ann_2 \h  \* MERGEFORMAT </w:instrText>
      </w:r>
      <w:r w:rsidR="00831C67" w:rsidRPr="00831C67">
        <w:rPr>
          <w:rFonts w:eastAsia="Arial" w:cs="Arial"/>
          <w:sz w:val="24"/>
          <w:szCs w:val="24"/>
        </w:rPr>
      </w:r>
      <w:r w:rsidR="00831C67" w:rsidRPr="00831C67">
        <w:rPr>
          <w:rFonts w:eastAsia="Arial" w:cs="Arial"/>
          <w:sz w:val="24"/>
          <w:szCs w:val="24"/>
        </w:rPr>
        <w:fldChar w:fldCharType="separate"/>
      </w:r>
      <w:r w:rsidR="00831C67" w:rsidRPr="00831C67">
        <w:rPr>
          <w:rFonts w:ascii="Arial" w:eastAsia="Arial" w:hAnsi="Arial" w:cs="Arial"/>
          <w:color w:val="000000"/>
          <w:sz w:val="24"/>
          <w:szCs w:val="24"/>
        </w:rPr>
        <w:t>2</w:t>
      </w:r>
      <w:r w:rsidR="00831C67" w:rsidRPr="00831C67">
        <w:rPr>
          <w:rFonts w:eastAsia="Arial" w:cs="Arial"/>
          <w:sz w:val="24"/>
          <w:szCs w:val="24"/>
        </w:rPr>
        <w:fldChar w:fldCharType="end"/>
      </w:r>
      <w:r w:rsidR="00831C67" w:rsidRPr="00831C67">
        <w:rPr>
          <w:rFonts w:eastAsia="Arial" w:cs="Arial"/>
          <w:sz w:val="24"/>
          <w:szCs w:val="24"/>
        </w:rPr>
        <w:t xml:space="preserve"> </w:t>
      </w:r>
      <w:r>
        <w:rPr>
          <w:rFonts w:ascii="Arial" w:eastAsia="Arial" w:hAnsi="Arial" w:cs="Arial"/>
          <w:color w:val="000000"/>
          <w:sz w:val="24"/>
          <w:szCs w:val="24"/>
        </w:rPr>
        <w:t xml:space="preserve">, the Buyer shall be entitled to terminate </w:t>
      </w:r>
      <w:r w:rsidR="00AC431B">
        <w:rPr>
          <w:rFonts w:ascii="Arial" w:eastAsia="Arial" w:hAnsi="Arial" w:cs="Arial"/>
          <w:color w:val="000000"/>
          <w:sz w:val="24"/>
          <w:szCs w:val="24"/>
        </w:rPr>
        <w:t>th</w:t>
      </w:r>
      <w:r w:rsidR="004B59ED">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by issuing a Termination Notice to the Supplier in accordance with Clause 14 and the consequences of termination in Clause 14.5.1 apply.</w:t>
      </w:r>
    </w:p>
    <w:p w14:paraId="0000010C" w14:textId="16322215"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Sub-Processing</w:t>
      </w:r>
    </w:p>
    <w:p w14:paraId="0000010D" w14:textId="0ACFA6A1" w:rsidR="00271DE7" w:rsidRDefault="00281B0B" w:rsidP="00831C67">
      <w:pPr>
        <w:keepNext/>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000010E" w14:textId="3B6D2759"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carry out adequate due diligence on such third party to ensure that it is capable of providing the level of protection for the Personal Data as is required by </w:t>
      </w:r>
      <w:r w:rsidR="00AC431B">
        <w:rPr>
          <w:rFonts w:ascii="Arial" w:eastAsia="Arial" w:hAnsi="Arial" w:cs="Arial"/>
          <w:color w:val="000000"/>
          <w:sz w:val="24"/>
          <w:szCs w:val="24"/>
        </w:rPr>
        <w:t>th</w:t>
      </w:r>
      <w:r w:rsidR="00402B24">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and provide evidence of such due diligence to the  other Party where reasonably requested; and</w:t>
      </w:r>
    </w:p>
    <w:p w14:paraId="0000010F" w14:textId="6E06D55F" w:rsidR="00271DE7" w:rsidRDefault="00281B0B" w:rsidP="00D54C6E">
      <w:pPr>
        <w:numPr>
          <w:ilvl w:val="1"/>
          <w:numId w:val="6"/>
        </w:numPr>
        <w:pBdr>
          <w:top w:val="nil"/>
          <w:left w:val="nil"/>
          <w:bottom w:val="nil"/>
          <w:right w:val="nil"/>
          <w:between w:val="nil"/>
        </w:pBdr>
        <w:spacing w:before="120" w:after="120" w:line="240" w:lineRule="auto"/>
      </w:pPr>
      <w:r>
        <w:rPr>
          <w:rFonts w:ascii="Arial" w:eastAsia="Arial" w:hAnsi="Arial" w:cs="Arial"/>
          <w:color w:val="000000"/>
          <w:sz w:val="24"/>
          <w:szCs w:val="24"/>
        </w:rPr>
        <w:t>ensure that a suitable agreement is in place with the third party as required under applicable Data Protection Legislation.</w:t>
      </w:r>
    </w:p>
    <w:p w14:paraId="00000110" w14:textId="2ACEC77C" w:rsidR="00271DE7" w:rsidRDefault="00281B0B" w:rsidP="00D54C6E">
      <w:pPr>
        <w:keepNext/>
        <w:numPr>
          <w:ilvl w:val="0"/>
          <w:numId w:val="6"/>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Data Retention</w:t>
      </w:r>
    </w:p>
    <w:p w14:paraId="00000111" w14:textId="5800F579" w:rsidR="00271DE7" w:rsidRDefault="00281B0B" w:rsidP="00831C67">
      <w:pPr>
        <w:pBdr>
          <w:top w:val="nil"/>
          <w:left w:val="nil"/>
          <w:bottom w:val="nil"/>
          <w:right w:val="nil"/>
          <w:between w:val="nil"/>
        </w:pBdr>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Parties </w:t>
      </w:r>
      <w:r w:rsidR="00C34216">
        <w:rPr>
          <w:rFonts w:ascii="Arial" w:eastAsia="Arial" w:hAnsi="Arial" w:cs="Arial"/>
          <w:color w:val="000000"/>
          <w:sz w:val="24"/>
          <w:szCs w:val="24"/>
        </w:rPr>
        <w:t>shall</w:t>
      </w:r>
      <w:r>
        <w:rPr>
          <w:rFonts w:ascii="Arial" w:eastAsia="Arial" w:hAnsi="Arial" w:cs="Arial"/>
          <w:color w:val="000000"/>
          <w:sz w:val="24"/>
          <w:szCs w:val="24"/>
        </w:rPr>
        <w:t xml:space="preserve">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w:t>
      </w:r>
      <w:r w:rsidR="00AC431B">
        <w:rPr>
          <w:rFonts w:ascii="Arial" w:eastAsia="Arial" w:hAnsi="Arial" w:cs="Arial"/>
          <w:color w:val="000000"/>
          <w:sz w:val="24"/>
          <w:szCs w:val="24"/>
        </w:rPr>
        <w:t>th</w:t>
      </w:r>
      <w:r w:rsidR="00C34216">
        <w:rPr>
          <w:rFonts w:ascii="Arial" w:eastAsia="Arial" w:hAnsi="Arial" w:cs="Arial"/>
          <w:color w:val="000000"/>
          <w:sz w:val="24"/>
          <w:szCs w:val="24"/>
        </w:rPr>
        <w:t>e</w:t>
      </w:r>
      <w:r w:rsidR="00AC431B">
        <w:rPr>
          <w:rFonts w:ascii="Arial" w:eastAsia="Arial" w:hAnsi="Arial" w:cs="Arial"/>
          <w:color w:val="000000"/>
          <w:sz w:val="24"/>
          <w:szCs w:val="24"/>
        </w:rPr>
        <w:t xml:space="preserve"> Contract</w:t>
      </w:r>
      <w:r>
        <w:rPr>
          <w:rFonts w:ascii="Arial" w:eastAsia="Arial" w:hAnsi="Arial" w:cs="Arial"/>
          <w:color w:val="000000"/>
          <w:sz w:val="24"/>
          <w:szCs w:val="24"/>
        </w:rPr>
        <w:t xml:space="preserve">), and taking all further actions as may be necessary to ensure its compliance with Data Protection Legislation and its privacy policy. </w:t>
      </w:r>
    </w:p>
    <w:sectPr w:rsidR="00271DE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CA322" w14:textId="77777777" w:rsidR="00AD18D3" w:rsidRDefault="00AD18D3">
      <w:pPr>
        <w:spacing w:after="0" w:line="240" w:lineRule="auto"/>
      </w:pPr>
      <w:r>
        <w:separator/>
      </w:r>
    </w:p>
  </w:endnote>
  <w:endnote w:type="continuationSeparator" w:id="0">
    <w:p w14:paraId="11F4EE4A" w14:textId="77777777" w:rsidR="00AD18D3" w:rsidRDefault="00AD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ED4F" w14:textId="75A4AFE2" w:rsidR="002A43F3" w:rsidRDefault="00FE1539">
    <w:pPr>
      <w:pStyle w:val="Footer"/>
    </w:pPr>
    <w:r>
      <w:rPr>
        <w:noProof/>
      </w:rPr>
      <mc:AlternateContent>
        <mc:Choice Requires="wps">
          <w:drawing>
            <wp:anchor distT="0" distB="0" distL="0" distR="0" simplePos="0" relativeHeight="251663360" behindDoc="0" locked="0" layoutInCell="1" allowOverlap="1" wp14:anchorId="49FC71D4" wp14:editId="74E4793A">
              <wp:simplePos x="635" y="635"/>
              <wp:positionH relativeFrom="page">
                <wp:align>center</wp:align>
              </wp:positionH>
              <wp:positionV relativeFrom="page">
                <wp:align>bottom</wp:align>
              </wp:positionV>
              <wp:extent cx="443865" cy="443865"/>
              <wp:effectExtent l="0" t="0" r="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8D6778" w14:textId="6EC7751B" w:rsidR="00FE1539" w:rsidRPr="00FE1539" w:rsidRDefault="00FE1539" w:rsidP="00FE1539">
                          <w:pPr>
                            <w:spacing w:after="0"/>
                            <w:rPr>
                              <w:noProof/>
                              <w:color w:val="000000"/>
                              <w:sz w:val="24"/>
                              <w:szCs w:val="24"/>
                            </w:rPr>
                          </w:pPr>
                          <w:r w:rsidRPr="00FE1539">
                            <w:rPr>
                              <w:noProof/>
                              <w:color w:val="00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FC71D4"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F8D6778" w14:textId="6EC7751B" w:rsidR="00FE1539" w:rsidRPr="00FE1539" w:rsidRDefault="00FE1539" w:rsidP="00FE1539">
                    <w:pPr>
                      <w:spacing w:after="0"/>
                      <w:rPr>
                        <w:noProof/>
                        <w:color w:val="000000"/>
                        <w:sz w:val="24"/>
                        <w:szCs w:val="24"/>
                      </w:rPr>
                    </w:pPr>
                    <w:r w:rsidRPr="00FE1539">
                      <w:rPr>
                        <w:noProof/>
                        <w:color w:val="000000"/>
                        <w:sz w:val="24"/>
                        <w:szCs w:val="24"/>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6505280A" w:rsidR="00271DE7" w:rsidRPr="00BF3713" w:rsidRDefault="00FE1539" w:rsidP="00BF3713">
    <w:pPr>
      <w:tabs>
        <w:tab w:val="center" w:pos="4513"/>
        <w:tab w:val="right" w:pos="9026"/>
      </w:tabs>
      <w:spacing w:after="0"/>
      <w:rPr>
        <w:rFonts w:ascii="Arial" w:eastAsia="Arial" w:hAnsi="Arial" w:cs="Arial"/>
        <w:sz w:val="20"/>
        <w:szCs w:val="20"/>
      </w:rPr>
    </w:pPr>
    <w:r>
      <w:rPr>
        <w:noProof/>
      </w:rPr>
      <mc:AlternateContent>
        <mc:Choice Requires="wps">
          <w:drawing>
            <wp:anchor distT="0" distB="0" distL="0" distR="0" simplePos="0" relativeHeight="251664384" behindDoc="0" locked="0" layoutInCell="1" allowOverlap="1" wp14:anchorId="11DDE8F8" wp14:editId="1A8AB0AC">
              <wp:simplePos x="635" y="635"/>
              <wp:positionH relativeFrom="page">
                <wp:align>center</wp:align>
              </wp:positionH>
              <wp:positionV relativeFrom="page">
                <wp:align>bottom</wp:align>
              </wp:positionV>
              <wp:extent cx="443865" cy="443865"/>
              <wp:effectExtent l="0" t="0" r="0"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337F3D" w14:textId="56A53262" w:rsidR="00FE1539" w:rsidRPr="00FE1539" w:rsidRDefault="00FE1539" w:rsidP="00FE1539">
                          <w:pPr>
                            <w:spacing w:after="0"/>
                            <w:rPr>
                              <w:noProof/>
                              <w:color w:val="000000"/>
                              <w:sz w:val="24"/>
                              <w:szCs w:val="24"/>
                            </w:rPr>
                          </w:pPr>
                          <w:r w:rsidRPr="00FE1539">
                            <w:rPr>
                              <w:noProof/>
                              <w:color w:val="00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DDE8F8" id="_x0000_t202" coordsize="21600,21600" o:spt="202" path="m,l,21600r21600,l21600,xe">
              <v:stroke joinstyle="miter"/>
              <v:path gradientshapeok="t" o:connecttype="rect"/>
            </v:shapetype>
            <v:shape id="Text Box 7" o:spid="_x0000_s1029" type="#_x0000_t202" alt="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4337F3D" w14:textId="56A53262" w:rsidR="00FE1539" w:rsidRPr="00FE1539" w:rsidRDefault="00FE1539" w:rsidP="00FE1539">
                    <w:pPr>
                      <w:spacing w:after="0"/>
                      <w:rPr>
                        <w:noProof/>
                        <w:color w:val="000000"/>
                        <w:sz w:val="24"/>
                        <w:szCs w:val="24"/>
                      </w:rPr>
                    </w:pPr>
                    <w:r w:rsidRPr="00FE1539">
                      <w:rPr>
                        <w:noProof/>
                        <w:color w:val="000000"/>
                        <w:sz w:val="24"/>
                        <w:szCs w:val="24"/>
                      </w:rPr>
                      <w:t>OFFICIAL</w:t>
                    </w:r>
                  </w:p>
                </w:txbxContent>
              </v:textbox>
              <w10:wrap anchorx="page" anchory="page"/>
            </v:shape>
          </w:pict>
        </mc:Fallback>
      </mc:AlternateContent>
    </w: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placeholder>
        <w:docPart w:val="DefaultPlaceholder_1081868574"/>
      </w:placeholder>
      <w:showingPlcHdr/>
    </w:sdtPr>
    <w:sdtEndPr/>
    <w:sdtContent>
      <w:p w14:paraId="0000011E" w14:textId="324C03A9" w:rsidR="00271DE7" w:rsidRDefault="00BF3713">
        <w:pPr>
          <w:spacing w:after="0"/>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9" w14:textId="44DA8ED4" w:rsidR="00271DE7" w:rsidRDefault="00FE1539">
    <w:pPr>
      <w:tabs>
        <w:tab w:val="center" w:pos="4513"/>
        <w:tab w:val="right" w:pos="9026"/>
      </w:tabs>
      <w:spacing w:after="0"/>
      <w:rPr>
        <w:rFonts w:ascii="Arial" w:eastAsia="Arial" w:hAnsi="Arial" w:cs="Arial"/>
        <w:sz w:val="20"/>
        <w:szCs w:val="20"/>
      </w:rPr>
    </w:pPr>
    <w:r>
      <w:rPr>
        <w:noProof/>
      </w:rPr>
      <mc:AlternateContent>
        <mc:Choice Requires="wps">
          <w:drawing>
            <wp:anchor distT="0" distB="0" distL="0" distR="0" simplePos="0" relativeHeight="251662336" behindDoc="0" locked="0" layoutInCell="1" allowOverlap="1" wp14:anchorId="0FA62D11" wp14:editId="75A0F35E">
              <wp:simplePos x="635" y="635"/>
              <wp:positionH relativeFrom="page">
                <wp:align>center</wp:align>
              </wp:positionH>
              <wp:positionV relativeFrom="page">
                <wp:align>bottom</wp:align>
              </wp:positionV>
              <wp:extent cx="443865" cy="443865"/>
              <wp:effectExtent l="0" t="0" r="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37C6DD" w14:textId="25D4F3FD" w:rsidR="00FE1539" w:rsidRPr="00FE1539" w:rsidRDefault="00FE1539" w:rsidP="00FE1539">
                          <w:pPr>
                            <w:spacing w:after="0"/>
                            <w:rPr>
                              <w:noProof/>
                              <w:color w:val="000000"/>
                              <w:sz w:val="24"/>
                              <w:szCs w:val="24"/>
                            </w:rPr>
                          </w:pPr>
                          <w:r w:rsidRPr="00FE1539">
                            <w:rPr>
                              <w:noProof/>
                              <w:color w:val="00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A62D11" id="_x0000_t202" coordsize="21600,21600" o:spt="202" path="m,l,21600r21600,l21600,xe">
              <v:stroke joinstyle="miter"/>
              <v:path gradientshapeok="t" o:connecttype="rect"/>
            </v:shapetype>
            <v:shape id="Text Box 5" o:spid="_x0000_s1031"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B37C6DD" w14:textId="25D4F3FD" w:rsidR="00FE1539" w:rsidRPr="00FE1539" w:rsidRDefault="00FE1539" w:rsidP="00FE1539">
                    <w:pPr>
                      <w:spacing w:after="0"/>
                      <w:rPr>
                        <w:noProof/>
                        <w:color w:val="000000"/>
                        <w:sz w:val="24"/>
                        <w:szCs w:val="24"/>
                      </w:rPr>
                    </w:pPr>
                    <w:r w:rsidRPr="00FE1539">
                      <w:rPr>
                        <w:noProof/>
                        <w:color w:val="000000"/>
                        <w:sz w:val="24"/>
                        <w:szCs w:val="24"/>
                      </w:rPr>
                      <w:t>OFFICIAL</w:t>
                    </w:r>
                  </w:p>
                </w:txbxContent>
              </v:textbox>
              <w10:wrap anchorx="page" anchory="page"/>
            </v:shape>
          </w:pict>
        </mc:Fallback>
      </mc:AlternateContent>
    </w:r>
  </w:p>
  <w:sdt>
    <w:sdtPr>
      <w:tag w:val="goog_rdk_1425"/>
      <w:id w:val="-1756883338"/>
      <w:placeholder>
        <w:docPart w:val="DefaultPlaceholder_1081868574"/>
      </w:placeholder>
    </w:sdtPr>
    <w:sdtEndPr/>
    <w:sdtContent>
      <w:p w14:paraId="00000119" w14:textId="44DA8ED4"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placeholder>
        <w:docPart w:val="DefaultPlaceholder_1081868574"/>
      </w:placeholder>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E1539">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placeholder>
        <w:docPart w:val="DefaultPlaceholder_1081868574"/>
      </w:placeholder>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64827" w14:textId="77777777" w:rsidR="00AD18D3" w:rsidRDefault="00AD18D3">
      <w:pPr>
        <w:spacing w:after="0" w:line="240" w:lineRule="auto"/>
      </w:pPr>
      <w:r>
        <w:separator/>
      </w:r>
    </w:p>
  </w:footnote>
  <w:footnote w:type="continuationSeparator" w:id="0">
    <w:p w14:paraId="4A48142A" w14:textId="77777777" w:rsidR="00AD18D3" w:rsidRDefault="00AD1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9319" w14:textId="2DFBB976" w:rsidR="002A43F3" w:rsidRDefault="00FE1539">
    <w:pPr>
      <w:pStyle w:val="Header"/>
    </w:pPr>
    <w:r>
      <w:rPr>
        <w:noProof/>
      </w:rPr>
      <mc:AlternateContent>
        <mc:Choice Requires="wps">
          <w:drawing>
            <wp:anchor distT="0" distB="0" distL="0" distR="0" simplePos="0" relativeHeight="251660288" behindDoc="0" locked="0" layoutInCell="1" allowOverlap="1" wp14:anchorId="2D06A7FA" wp14:editId="505F2098">
              <wp:simplePos x="635" y="635"/>
              <wp:positionH relativeFrom="page">
                <wp:align>center</wp:align>
              </wp:positionH>
              <wp:positionV relativeFrom="page">
                <wp:align>top</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407D69" w14:textId="2017E955" w:rsidR="00FE1539" w:rsidRPr="00FE1539" w:rsidRDefault="00FE1539" w:rsidP="00FE1539">
                          <w:pPr>
                            <w:spacing w:after="0"/>
                            <w:rPr>
                              <w:noProof/>
                              <w:color w:val="000000"/>
                              <w:sz w:val="24"/>
                              <w:szCs w:val="24"/>
                            </w:rPr>
                          </w:pPr>
                          <w:r w:rsidRPr="00FE1539">
                            <w:rPr>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06A7F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7407D69" w14:textId="2017E955" w:rsidR="00FE1539" w:rsidRPr="00FE1539" w:rsidRDefault="00FE1539" w:rsidP="00FE1539">
                    <w:pPr>
                      <w:spacing w:after="0"/>
                      <w:rPr>
                        <w:noProof/>
                        <w:color w:val="000000"/>
                        <w:sz w:val="24"/>
                        <w:szCs w:val="24"/>
                      </w:rPr>
                    </w:pPr>
                    <w:r w:rsidRPr="00FE1539">
                      <w:rPr>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76678BEB" w:rsidR="00D54C6E" w:rsidRPr="00BF3713" w:rsidRDefault="00FE1539"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noProof/>
      </w:rPr>
      <mc:AlternateContent>
        <mc:Choice Requires="wps">
          <w:drawing>
            <wp:anchor distT="0" distB="0" distL="0" distR="0" simplePos="0" relativeHeight="251661312" behindDoc="0" locked="0" layoutInCell="1" allowOverlap="1" wp14:anchorId="7D6FBCDD" wp14:editId="3E410AE2">
              <wp:simplePos x="635" y="635"/>
              <wp:positionH relativeFrom="page">
                <wp:align>center</wp:align>
              </wp:positionH>
              <wp:positionV relativeFrom="page">
                <wp:align>top</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7B3F43" w14:textId="7D36E6CC" w:rsidR="00FE1539" w:rsidRPr="00FE1539" w:rsidRDefault="00FE1539" w:rsidP="00FE1539">
                          <w:pPr>
                            <w:spacing w:after="0"/>
                            <w:rPr>
                              <w:noProof/>
                              <w:color w:val="000000"/>
                              <w:sz w:val="24"/>
                              <w:szCs w:val="24"/>
                            </w:rPr>
                          </w:pPr>
                          <w:r w:rsidRPr="00FE1539">
                            <w:rPr>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6FBCDD"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27B3F43" w14:textId="7D36E6CC" w:rsidR="00FE1539" w:rsidRPr="00FE1539" w:rsidRDefault="00FE1539" w:rsidP="00FE1539">
                    <w:pPr>
                      <w:spacing w:after="0"/>
                      <w:rPr>
                        <w:noProof/>
                        <w:color w:val="000000"/>
                        <w:sz w:val="24"/>
                        <w:szCs w:val="24"/>
                      </w:rPr>
                    </w:pPr>
                    <w:r w:rsidRPr="00FE1539">
                      <w:rPr>
                        <w:noProof/>
                        <w:color w:val="000000"/>
                        <w:sz w:val="24"/>
                        <w:szCs w:val="24"/>
                      </w:rPr>
                      <w:t>OFFICIAL</w:t>
                    </w:r>
                  </w:p>
                </w:txbxContent>
              </v:textbox>
              <w10:wrap anchorx="page" anchory="page"/>
            </v:shape>
          </w:pict>
        </mc:Fallback>
      </mc:AlternateContent>
    </w: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D54C6E" w:rsidRPr="00BF3713">
          <w:rPr>
            <w:rFonts w:ascii="Arial" w:eastAsia="Arial" w:hAnsi="Arial" w:cs="Arial"/>
            <w:color w:val="000000"/>
            <w:sz w:val="20"/>
            <w:szCs w:val="20"/>
          </w:rPr>
          <w:t>[Subject to Contract]</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69737257" w:rsidR="00271DE7" w:rsidRDefault="00FE1539">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0CF66713" wp14:editId="0C5AC18D">
              <wp:simplePos x="635" y="635"/>
              <wp:positionH relativeFrom="page">
                <wp:align>center</wp:align>
              </wp:positionH>
              <wp:positionV relativeFrom="page">
                <wp:align>top</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66F42D" w14:textId="40B21EF7" w:rsidR="00FE1539" w:rsidRPr="00FE1539" w:rsidRDefault="00FE1539" w:rsidP="00FE1539">
                          <w:pPr>
                            <w:spacing w:after="0"/>
                            <w:rPr>
                              <w:noProof/>
                              <w:color w:val="000000"/>
                              <w:sz w:val="24"/>
                              <w:szCs w:val="24"/>
                            </w:rPr>
                          </w:pPr>
                          <w:r w:rsidRPr="00FE1539">
                            <w:rPr>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F66713"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866F42D" w14:textId="40B21EF7" w:rsidR="00FE1539" w:rsidRPr="00FE1539" w:rsidRDefault="00FE1539" w:rsidP="00FE1539">
                    <w:pPr>
                      <w:spacing w:after="0"/>
                      <w:rPr>
                        <w:noProof/>
                        <w:color w:val="000000"/>
                        <w:sz w:val="24"/>
                        <w:szCs w:val="24"/>
                      </w:rPr>
                    </w:pPr>
                    <w:r w:rsidRPr="00FE1539">
                      <w:rPr>
                        <w:noProof/>
                        <w:color w:val="000000"/>
                        <w:sz w:val="24"/>
                        <w:szCs w:val="24"/>
                      </w:rPr>
                      <w:t>OFFICIAL</w:t>
                    </w:r>
                  </w:p>
                </w:txbxContent>
              </v:textbox>
              <w10:wrap anchorx="page" anchory="page"/>
            </v:shape>
          </w:pict>
        </mc:Fallback>
      </mc:AlternateContent>
    </w:r>
  </w:p>
  <w:sdt>
    <w:sdtPr>
      <w:tag w:val="goog_rdk_1421"/>
      <w:id w:val="-1132631374"/>
      <w:placeholder>
        <w:docPart w:val="DefaultPlaceholder_1081868574"/>
      </w:placeholder>
    </w:sdtPr>
    <w:sdtEndPr/>
    <w:sdtContent>
      <w:p w14:paraId="00000115" w14:textId="6973725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F7C0F45"/>
    <w:multiLevelType w:val="multilevel"/>
    <w:tmpl w:val="859C3F3C"/>
    <w:lvl w:ilvl="0">
      <w:start w:val="1"/>
      <w:numFmt w:val="upperLetter"/>
      <w:pStyle w:val="MainClause"/>
      <w:lvlText w:val="%1"/>
      <w:lvlJc w:val="left"/>
      <w:pPr>
        <w:tabs>
          <w:tab w:val="num" w:pos="680"/>
        </w:tabs>
        <w:ind w:left="924" w:hanging="924"/>
      </w:pPr>
      <w:rPr>
        <w:rFonts w:hint="default"/>
      </w:rPr>
    </w:lvl>
    <w:lvl w:ilvl="1">
      <w:start w:val="1"/>
      <w:numFmt w:val="decimal"/>
      <w:pStyle w:val="Sub-clause"/>
      <w:lvlText w:val="%1%2"/>
      <w:lvlJc w:val="left"/>
      <w:pPr>
        <w:ind w:left="737" w:hanging="737"/>
      </w:pPr>
      <w:rPr>
        <w:rFonts w:hint="default"/>
        <w:i w:val="0"/>
        <w:iCs w:val="0"/>
      </w:rPr>
    </w:lvl>
    <w:lvl w:ilvl="2">
      <w:start w:val="1"/>
      <w:numFmt w:val="decimal"/>
      <w:lvlText w:val="%1%2.%3"/>
      <w:lvlJc w:val="left"/>
      <w:pPr>
        <w:tabs>
          <w:tab w:val="num" w:pos="737"/>
        </w:tabs>
        <w:ind w:left="737" w:hanging="737"/>
      </w:pPr>
      <w:rPr>
        <w:rFonts w:ascii="Arial" w:hAnsi="Arial" w:hint="default"/>
        <w:b w:val="0"/>
        <w:bCs w:val="0"/>
        <w:i w:val="0"/>
        <w:iCs w:val="0"/>
        <w:sz w:val="22"/>
      </w:rPr>
    </w:lvl>
    <w:lvl w:ilvl="3">
      <w:start w:val="1"/>
      <w:numFmt w:val="lowerLetter"/>
      <w:pStyle w:val="Body123"/>
      <w:lvlText w:val="(%4)"/>
      <w:lvlJc w:val="left"/>
      <w:pPr>
        <w:ind w:left="1304" w:hanging="397"/>
      </w:pPr>
      <w:rPr>
        <w:rFonts w:hint="default"/>
      </w:rPr>
    </w:lvl>
    <w:lvl w:ilvl="4">
      <w:start w:val="1"/>
      <w:numFmt w:val="lowerRoman"/>
      <w:lvlText w:val="(%5)"/>
      <w:lvlJc w:val="left"/>
      <w:pPr>
        <w:ind w:left="2325" w:hanging="681"/>
      </w:pPr>
      <w:rPr>
        <w:rFonts w:hint="default"/>
      </w:rPr>
    </w:lvl>
    <w:lvl w:ilvl="5">
      <w:start w:val="1"/>
      <w:numFmt w:val="upperLetter"/>
      <w:lvlText w:val="(%6)"/>
      <w:lvlJc w:val="left"/>
      <w:pPr>
        <w:ind w:left="3062" w:hanging="737"/>
      </w:pPr>
      <w:rPr>
        <w:rFonts w:hint="default"/>
      </w:rPr>
    </w:lvl>
    <w:lvl w:ilvl="6">
      <w:start w:val="1"/>
      <w:numFmt w:val="decimal"/>
      <w:lvlText w:val="%7."/>
      <w:lvlJc w:val="left"/>
      <w:pPr>
        <w:tabs>
          <w:tab w:val="num" w:pos="924"/>
        </w:tabs>
        <w:ind w:left="924" w:hanging="924"/>
      </w:pPr>
      <w:rPr>
        <w:rFonts w:hint="default"/>
      </w:rPr>
    </w:lvl>
    <w:lvl w:ilvl="7">
      <w:start w:val="1"/>
      <w:numFmt w:val="lowerLetter"/>
      <w:lvlText w:val="%8."/>
      <w:lvlJc w:val="left"/>
      <w:pPr>
        <w:tabs>
          <w:tab w:val="num" w:pos="924"/>
        </w:tabs>
        <w:ind w:left="924" w:hanging="924"/>
      </w:pPr>
      <w:rPr>
        <w:rFonts w:hint="default"/>
      </w:rPr>
    </w:lvl>
    <w:lvl w:ilvl="8">
      <w:start w:val="1"/>
      <w:numFmt w:val="lowerRoman"/>
      <w:lvlText w:val="%9."/>
      <w:lvlJc w:val="left"/>
      <w:pPr>
        <w:tabs>
          <w:tab w:val="num" w:pos="924"/>
        </w:tabs>
        <w:ind w:left="924" w:hanging="924"/>
      </w:pPr>
      <w:rPr>
        <w:rFonts w:hint="default"/>
      </w:rPr>
    </w:lvl>
  </w:abstractNum>
  <w:abstractNum w:abstractNumId="4"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D0C2F44"/>
    <w:multiLevelType w:val="multilevel"/>
    <w:tmpl w:val="F0E66CDC"/>
    <w:styleLink w:val="Recital2"/>
    <w:lvl w:ilvl="0">
      <w:start w:val="1"/>
      <w:numFmt w:val="decimal"/>
      <w:pStyle w:val="MRHeading1"/>
      <w:lvlText w:val="%1"/>
      <w:lvlJc w:val="left"/>
      <w:pPr>
        <w:ind w:left="720" w:hanging="720"/>
      </w:pPr>
      <w:rPr>
        <w:rFonts w:cs="Times New Roman"/>
        <w:b/>
        <w:i w:val="0"/>
        <w:sz w:val="22"/>
      </w:rPr>
    </w:lvl>
    <w:lvl w:ilvl="1">
      <w:start w:val="1"/>
      <w:numFmt w:val="decimal"/>
      <w:pStyle w:val="MRHeading2"/>
      <w:lvlText w:val="%1.%2"/>
      <w:lvlJc w:val="left"/>
      <w:pPr>
        <w:ind w:left="720" w:hanging="720"/>
      </w:pPr>
      <w:rPr>
        <w:rFonts w:cs="Times New Roman"/>
      </w:rPr>
    </w:lvl>
    <w:lvl w:ilvl="2">
      <w:start w:val="1"/>
      <w:numFmt w:val="decimal"/>
      <w:pStyle w:val="MRHeading3"/>
      <w:lvlText w:val="%1.%2.%3"/>
      <w:lvlJc w:val="left"/>
      <w:pPr>
        <w:ind w:left="1800" w:hanging="1080"/>
      </w:pPr>
      <w:rPr>
        <w:rFonts w:cs="Times New Roman"/>
      </w:rPr>
    </w:lvl>
    <w:lvl w:ilvl="3">
      <w:start w:val="1"/>
      <w:numFmt w:val="lowerRoman"/>
      <w:pStyle w:val="MRHeading4"/>
      <w:lvlText w:val="(%4)"/>
      <w:lvlJc w:val="left"/>
      <w:pPr>
        <w:ind w:left="2520" w:hanging="720"/>
      </w:pPr>
      <w:rPr>
        <w:rFonts w:cs="Times New Roman"/>
      </w:rPr>
    </w:lvl>
    <w:lvl w:ilvl="4">
      <w:start w:val="1"/>
      <w:numFmt w:val="upperLetter"/>
      <w:pStyle w:val="MRHeading5"/>
      <w:lvlText w:val="(%5)"/>
      <w:lvlJc w:val="left"/>
      <w:pPr>
        <w:ind w:left="3240" w:hanging="720"/>
      </w:pPr>
      <w:rPr>
        <w:rFonts w:cs="Times New Roman"/>
      </w:rPr>
    </w:lvl>
    <w:lvl w:ilvl="5">
      <w:start w:val="1"/>
      <w:numFmt w:val="decimal"/>
      <w:pStyle w:val="MRHeading6"/>
      <w:lvlText w:val="%6)"/>
      <w:lvlJc w:val="left"/>
      <w:pPr>
        <w:ind w:left="3960" w:hanging="720"/>
      </w:pPr>
      <w:rPr>
        <w:rFonts w:cs="Times New Roman"/>
      </w:rPr>
    </w:lvl>
    <w:lvl w:ilvl="6">
      <w:start w:val="1"/>
      <w:numFmt w:val="lowerLetter"/>
      <w:pStyle w:val="MRHeading7"/>
      <w:lvlText w:val="%7)"/>
      <w:lvlJc w:val="left"/>
      <w:pPr>
        <w:ind w:left="4680" w:hanging="720"/>
      </w:pPr>
      <w:rPr>
        <w:rFonts w:cs="Times New Roman"/>
      </w:rPr>
    </w:lvl>
    <w:lvl w:ilvl="7">
      <w:start w:val="1"/>
      <w:numFmt w:val="lowerRoman"/>
      <w:pStyle w:val="MRHeading8"/>
      <w:lvlText w:val="%8)"/>
      <w:lvlJc w:val="left"/>
      <w:pPr>
        <w:ind w:left="5400" w:hanging="720"/>
      </w:pPr>
      <w:rPr>
        <w:rFonts w:cs="Times New Roman"/>
      </w:rPr>
    </w:lvl>
    <w:lvl w:ilvl="8">
      <w:start w:val="1"/>
      <w:numFmt w:val="upperLetter"/>
      <w:pStyle w:val="MRHeading9"/>
      <w:lvlText w:val="%9)"/>
      <w:lvlJc w:val="left"/>
      <w:pPr>
        <w:ind w:left="6120" w:hanging="720"/>
      </w:pPr>
      <w:rPr>
        <w:rFonts w:cs="Times New Roman"/>
      </w:rPr>
    </w:lvl>
  </w:abstractNum>
  <w:abstractNum w:abstractNumId="10"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3873059">
    <w:abstractNumId w:val="4"/>
  </w:num>
  <w:num w:numId="2" w16cid:durableId="2094012650">
    <w:abstractNumId w:val="8"/>
  </w:num>
  <w:num w:numId="3" w16cid:durableId="83692357">
    <w:abstractNumId w:val="1"/>
  </w:num>
  <w:num w:numId="4" w16cid:durableId="807630420">
    <w:abstractNumId w:val="10"/>
  </w:num>
  <w:num w:numId="5" w16cid:durableId="1555850777">
    <w:abstractNumId w:val="0"/>
  </w:num>
  <w:num w:numId="6" w16cid:durableId="1444231338">
    <w:abstractNumId w:val="2"/>
  </w:num>
  <w:num w:numId="7" w16cid:durableId="972364853">
    <w:abstractNumId w:val="6"/>
  </w:num>
  <w:num w:numId="8" w16cid:durableId="391513579">
    <w:abstractNumId w:val="7"/>
  </w:num>
  <w:num w:numId="9" w16cid:durableId="988939298">
    <w:abstractNumId w:val="5"/>
  </w:num>
  <w:num w:numId="10" w16cid:durableId="11377940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60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30426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4423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48398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8739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7123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8457613">
    <w:abstractNumId w:val="9"/>
  </w:num>
  <w:num w:numId="18" w16cid:durableId="17219743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045BD"/>
    <w:rsid w:val="0004087F"/>
    <w:rsid w:val="000669A1"/>
    <w:rsid w:val="0009044D"/>
    <w:rsid w:val="0011480F"/>
    <w:rsid w:val="00157F5B"/>
    <w:rsid w:val="00167F5F"/>
    <w:rsid w:val="001E73DA"/>
    <w:rsid w:val="0021268E"/>
    <w:rsid w:val="00252661"/>
    <w:rsid w:val="00271DE7"/>
    <w:rsid w:val="00281B0B"/>
    <w:rsid w:val="0029774D"/>
    <w:rsid w:val="002A43F3"/>
    <w:rsid w:val="00383EAC"/>
    <w:rsid w:val="003B53E5"/>
    <w:rsid w:val="003B70CC"/>
    <w:rsid w:val="003D0A28"/>
    <w:rsid w:val="00402B24"/>
    <w:rsid w:val="00444965"/>
    <w:rsid w:val="00454903"/>
    <w:rsid w:val="004777F5"/>
    <w:rsid w:val="004B54D4"/>
    <w:rsid w:val="004B56C7"/>
    <w:rsid w:val="004B59ED"/>
    <w:rsid w:val="004D7A45"/>
    <w:rsid w:val="00510E06"/>
    <w:rsid w:val="0051331C"/>
    <w:rsid w:val="005A212F"/>
    <w:rsid w:val="005B59FF"/>
    <w:rsid w:val="005E69B5"/>
    <w:rsid w:val="006726C3"/>
    <w:rsid w:val="0068783C"/>
    <w:rsid w:val="006A1C60"/>
    <w:rsid w:val="006A4E27"/>
    <w:rsid w:val="006E2BB9"/>
    <w:rsid w:val="007067F9"/>
    <w:rsid w:val="00706833"/>
    <w:rsid w:val="00731926"/>
    <w:rsid w:val="007340B7"/>
    <w:rsid w:val="00785D7C"/>
    <w:rsid w:val="007B1E8A"/>
    <w:rsid w:val="00826371"/>
    <w:rsid w:val="00831C67"/>
    <w:rsid w:val="008E78A5"/>
    <w:rsid w:val="00933C8D"/>
    <w:rsid w:val="00953FEE"/>
    <w:rsid w:val="0096359C"/>
    <w:rsid w:val="00972BEC"/>
    <w:rsid w:val="00985C45"/>
    <w:rsid w:val="009B0AA3"/>
    <w:rsid w:val="009D1D86"/>
    <w:rsid w:val="009F7488"/>
    <w:rsid w:val="00A56BBD"/>
    <w:rsid w:val="00AB133C"/>
    <w:rsid w:val="00AB32B1"/>
    <w:rsid w:val="00AC431B"/>
    <w:rsid w:val="00AD17B0"/>
    <w:rsid w:val="00AD18D3"/>
    <w:rsid w:val="00AD57D1"/>
    <w:rsid w:val="00B415AE"/>
    <w:rsid w:val="00B73AC9"/>
    <w:rsid w:val="00B97E17"/>
    <w:rsid w:val="00BC15C0"/>
    <w:rsid w:val="00BE37C3"/>
    <w:rsid w:val="00BF3713"/>
    <w:rsid w:val="00C23AD6"/>
    <w:rsid w:val="00C2772B"/>
    <w:rsid w:val="00C34216"/>
    <w:rsid w:val="00C45528"/>
    <w:rsid w:val="00C61771"/>
    <w:rsid w:val="00CF2F80"/>
    <w:rsid w:val="00D03A1F"/>
    <w:rsid w:val="00D54C6E"/>
    <w:rsid w:val="00D91D7B"/>
    <w:rsid w:val="00DD6DD0"/>
    <w:rsid w:val="00E0519E"/>
    <w:rsid w:val="00E375E0"/>
    <w:rsid w:val="00E37793"/>
    <w:rsid w:val="00E60EDA"/>
    <w:rsid w:val="00E81DDD"/>
    <w:rsid w:val="00E8482B"/>
    <w:rsid w:val="00EF0654"/>
    <w:rsid w:val="00F01B65"/>
    <w:rsid w:val="00F117B6"/>
    <w:rsid w:val="00F61286"/>
    <w:rsid w:val="00F63A04"/>
    <w:rsid w:val="00F64FBE"/>
    <w:rsid w:val="00FB3AD4"/>
    <w:rsid w:val="00FD4338"/>
    <w:rsid w:val="00FE1539"/>
    <w:rsid w:val="2D0DAC8F"/>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MRHeading1">
    <w:name w:val="M&amp;R Heading 1"/>
    <w:aliases w:val="M&amp;R H1"/>
    <w:basedOn w:val="Normal"/>
    <w:uiPriority w:val="9"/>
    <w:qFormat/>
    <w:rsid w:val="00E375E0"/>
    <w:pPr>
      <w:keepNext/>
      <w:keepLines/>
      <w:numPr>
        <w:numId w:val="17"/>
      </w:numPr>
      <w:tabs>
        <w:tab w:val="left" w:pos="720"/>
      </w:tabs>
      <w:spacing w:before="240" w:after="0" w:line="360" w:lineRule="auto"/>
      <w:jc w:val="both"/>
      <w:outlineLvl w:val="0"/>
    </w:pPr>
    <w:rPr>
      <w:rFonts w:ascii="Arial" w:hAnsi="Arial" w:cs="Times New Roman"/>
      <w:b/>
      <w:u w:val="single"/>
      <w:lang w:eastAsia="en-GB"/>
    </w:rPr>
  </w:style>
  <w:style w:type="paragraph" w:customStyle="1" w:styleId="MRHeading2">
    <w:name w:val="M&amp;R Heading 2"/>
    <w:aliases w:val="M&amp;R H2"/>
    <w:basedOn w:val="Normal"/>
    <w:uiPriority w:val="9"/>
    <w:qFormat/>
    <w:rsid w:val="00E375E0"/>
    <w:pPr>
      <w:numPr>
        <w:ilvl w:val="1"/>
        <w:numId w:val="17"/>
      </w:numPr>
      <w:tabs>
        <w:tab w:val="left" w:pos="720"/>
      </w:tabs>
      <w:spacing w:before="240" w:after="0" w:line="360" w:lineRule="auto"/>
      <w:jc w:val="both"/>
      <w:outlineLvl w:val="1"/>
    </w:pPr>
    <w:rPr>
      <w:rFonts w:ascii="Arial" w:hAnsi="Arial" w:cs="Times New Roman"/>
      <w:lang w:eastAsia="en-GB"/>
    </w:rPr>
  </w:style>
  <w:style w:type="paragraph" w:customStyle="1" w:styleId="MRHeading3">
    <w:name w:val="M&amp;R Heading 3"/>
    <w:aliases w:val="M&amp;R H3"/>
    <w:basedOn w:val="Normal"/>
    <w:uiPriority w:val="9"/>
    <w:qFormat/>
    <w:rsid w:val="00E375E0"/>
    <w:pPr>
      <w:numPr>
        <w:ilvl w:val="2"/>
        <w:numId w:val="17"/>
      </w:numPr>
      <w:tabs>
        <w:tab w:val="left" w:pos="1797"/>
      </w:tabs>
      <w:spacing w:before="240" w:after="0" w:line="360" w:lineRule="auto"/>
      <w:jc w:val="both"/>
      <w:outlineLvl w:val="2"/>
    </w:pPr>
    <w:rPr>
      <w:rFonts w:ascii="Arial" w:hAnsi="Arial" w:cs="Times New Roman"/>
      <w:lang w:eastAsia="en-GB"/>
    </w:rPr>
  </w:style>
  <w:style w:type="paragraph" w:customStyle="1" w:styleId="MRHeading4">
    <w:name w:val="M&amp;R Heading 4"/>
    <w:aliases w:val="M&amp;R H4"/>
    <w:basedOn w:val="Normal"/>
    <w:uiPriority w:val="9"/>
    <w:rsid w:val="00E375E0"/>
    <w:pPr>
      <w:numPr>
        <w:ilvl w:val="3"/>
        <w:numId w:val="17"/>
      </w:numPr>
      <w:tabs>
        <w:tab w:val="left" w:pos="2517"/>
      </w:tabs>
      <w:spacing w:before="240" w:after="0" w:line="360" w:lineRule="auto"/>
      <w:jc w:val="both"/>
      <w:outlineLvl w:val="3"/>
    </w:pPr>
    <w:rPr>
      <w:rFonts w:ascii="Arial" w:hAnsi="Arial" w:cs="Times New Roman"/>
      <w:lang w:eastAsia="en-GB"/>
    </w:rPr>
  </w:style>
  <w:style w:type="paragraph" w:customStyle="1" w:styleId="MRHeading5">
    <w:name w:val="M&amp;R Heading 5"/>
    <w:aliases w:val="M&amp;R H5"/>
    <w:basedOn w:val="Normal"/>
    <w:uiPriority w:val="9"/>
    <w:rsid w:val="00E375E0"/>
    <w:pPr>
      <w:numPr>
        <w:ilvl w:val="4"/>
        <w:numId w:val="17"/>
      </w:numPr>
      <w:tabs>
        <w:tab w:val="left" w:pos="3238"/>
      </w:tabs>
      <w:spacing w:before="240" w:after="0" w:line="360" w:lineRule="auto"/>
      <w:jc w:val="both"/>
      <w:outlineLvl w:val="4"/>
    </w:pPr>
    <w:rPr>
      <w:rFonts w:ascii="Arial" w:hAnsi="Arial" w:cs="Times New Roman"/>
      <w:lang w:eastAsia="en-GB"/>
    </w:rPr>
  </w:style>
  <w:style w:type="paragraph" w:customStyle="1" w:styleId="MRHeading6">
    <w:name w:val="M&amp;R Heading 6"/>
    <w:aliases w:val="M&amp;R H6"/>
    <w:basedOn w:val="Normal"/>
    <w:uiPriority w:val="9"/>
    <w:rsid w:val="00E375E0"/>
    <w:pPr>
      <w:numPr>
        <w:ilvl w:val="5"/>
        <w:numId w:val="17"/>
      </w:numPr>
      <w:tabs>
        <w:tab w:val="left" w:pos="3958"/>
      </w:tabs>
      <w:spacing w:before="240" w:after="0" w:line="360" w:lineRule="auto"/>
      <w:jc w:val="both"/>
      <w:outlineLvl w:val="5"/>
    </w:pPr>
    <w:rPr>
      <w:rFonts w:ascii="Arial" w:hAnsi="Arial" w:cs="Times New Roman"/>
      <w:lang w:eastAsia="en-GB"/>
    </w:rPr>
  </w:style>
  <w:style w:type="paragraph" w:customStyle="1" w:styleId="MRHeading7">
    <w:name w:val="M&amp;R Heading 7"/>
    <w:aliases w:val="M&amp;R H7"/>
    <w:basedOn w:val="Normal"/>
    <w:uiPriority w:val="9"/>
    <w:rsid w:val="00E375E0"/>
    <w:pPr>
      <w:numPr>
        <w:ilvl w:val="6"/>
        <w:numId w:val="17"/>
      </w:numPr>
      <w:tabs>
        <w:tab w:val="left" w:pos="4678"/>
      </w:tabs>
      <w:spacing w:before="240" w:after="0" w:line="360" w:lineRule="auto"/>
      <w:jc w:val="both"/>
      <w:outlineLvl w:val="6"/>
    </w:pPr>
    <w:rPr>
      <w:rFonts w:ascii="Arial" w:hAnsi="Arial" w:cs="Times New Roman"/>
      <w:lang w:eastAsia="en-GB"/>
    </w:rPr>
  </w:style>
  <w:style w:type="paragraph" w:customStyle="1" w:styleId="MRHeading8">
    <w:name w:val="M&amp;R Heading 8"/>
    <w:aliases w:val="M&amp;R H8"/>
    <w:basedOn w:val="Normal"/>
    <w:uiPriority w:val="9"/>
    <w:rsid w:val="00E375E0"/>
    <w:pPr>
      <w:numPr>
        <w:ilvl w:val="7"/>
        <w:numId w:val="17"/>
      </w:numPr>
      <w:tabs>
        <w:tab w:val="left" w:pos="5398"/>
      </w:tabs>
      <w:spacing w:before="240" w:after="0" w:line="360" w:lineRule="auto"/>
      <w:jc w:val="both"/>
      <w:outlineLvl w:val="7"/>
    </w:pPr>
    <w:rPr>
      <w:rFonts w:ascii="Arial" w:hAnsi="Arial" w:cs="Times New Roman"/>
      <w:lang w:eastAsia="en-GB"/>
    </w:rPr>
  </w:style>
  <w:style w:type="paragraph" w:customStyle="1" w:styleId="MRHeading9">
    <w:name w:val="M&amp;R Heading 9"/>
    <w:aliases w:val="M&amp;R H9"/>
    <w:basedOn w:val="Normal"/>
    <w:uiPriority w:val="9"/>
    <w:rsid w:val="00E375E0"/>
    <w:pPr>
      <w:numPr>
        <w:ilvl w:val="8"/>
        <w:numId w:val="17"/>
      </w:numPr>
      <w:tabs>
        <w:tab w:val="left" w:pos="6118"/>
      </w:tabs>
      <w:spacing w:before="240" w:after="0" w:line="360" w:lineRule="auto"/>
      <w:jc w:val="both"/>
      <w:outlineLvl w:val="8"/>
    </w:pPr>
    <w:rPr>
      <w:rFonts w:ascii="Arial" w:hAnsi="Arial" w:cs="Times New Roman"/>
      <w:lang w:eastAsia="en-GB"/>
    </w:rPr>
  </w:style>
  <w:style w:type="numbering" w:customStyle="1" w:styleId="Recital2">
    <w:name w:val="Recital2"/>
    <w:uiPriority w:val="99"/>
    <w:rsid w:val="00E375E0"/>
    <w:pPr>
      <w:numPr>
        <w:numId w:val="17"/>
      </w:numPr>
    </w:pPr>
  </w:style>
  <w:style w:type="paragraph" w:customStyle="1" w:styleId="Sub-clause">
    <w:name w:val="Sub-clause"/>
    <w:basedOn w:val="Normal"/>
    <w:uiPriority w:val="99"/>
    <w:qFormat/>
    <w:rsid w:val="00E375E0"/>
    <w:pPr>
      <w:keepNext/>
      <w:numPr>
        <w:ilvl w:val="1"/>
        <w:numId w:val="18"/>
      </w:numPr>
      <w:tabs>
        <w:tab w:val="left" w:pos="0"/>
        <w:tab w:val="left" w:pos="709"/>
      </w:tabs>
      <w:suppressAutoHyphens/>
      <w:spacing w:after="0" w:line="240" w:lineRule="auto"/>
      <w:outlineLvl w:val="6"/>
    </w:pPr>
    <w:rPr>
      <w:rFonts w:ascii="Arial" w:eastAsia="Times New Roman" w:hAnsi="Arial" w:cs="Arial"/>
      <w:b/>
      <w:bCs/>
      <w:sz w:val="24"/>
      <w:szCs w:val="24"/>
      <w:lang w:eastAsia="en-US"/>
    </w:rPr>
  </w:style>
  <w:style w:type="paragraph" w:customStyle="1" w:styleId="MainClause">
    <w:name w:val="Main Clause"/>
    <w:basedOn w:val="Normal"/>
    <w:uiPriority w:val="99"/>
    <w:qFormat/>
    <w:rsid w:val="00E375E0"/>
    <w:pPr>
      <w:keepNext/>
      <w:keepLines/>
      <w:numPr>
        <w:numId w:val="18"/>
      </w:numPr>
      <w:spacing w:after="0" w:line="240" w:lineRule="auto"/>
      <w:outlineLvl w:val="0"/>
    </w:pPr>
    <w:rPr>
      <w:rFonts w:ascii="Arial" w:eastAsia="Times New Roman" w:hAnsi="Arial" w:cs="Arial"/>
      <w:b/>
      <w:bCs/>
      <w:color w:val="0070C0"/>
      <w:sz w:val="28"/>
      <w:szCs w:val="28"/>
      <w:lang w:eastAsia="en-US"/>
    </w:rPr>
  </w:style>
  <w:style w:type="paragraph" w:customStyle="1" w:styleId="Body123">
    <w:name w:val="Body123"/>
    <w:basedOn w:val="Normal"/>
    <w:link w:val="Body123Char"/>
    <w:uiPriority w:val="99"/>
    <w:qFormat/>
    <w:rsid w:val="00E375E0"/>
    <w:pPr>
      <w:numPr>
        <w:ilvl w:val="3"/>
        <w:numId w:val="18"/>
      </w:numPr>
      <w:tabs>
        <w:tab w:val="left" w:pos="0"/>
      </w:tabs>
      <w:suppressAutoHyphens/>
      <w:spacing w:after="0" w:line="240" w:lineRule="auto"/>
      <w:jc w:val="both"/>
    </w:pPr>
    <w:rPr>
      <w:rFonts w:ascii="Arial" w:hAnsi="Arial" w:cs="Arial"/>
      <w:color w:val="000000"/>
      <w:lang w:eastAsia="en-US"/>
    </w:rPr>
  </w:style>
  <w:style w:type="character" w:customStyle="1" w:styleId="Body123Char">
    <w:name w:val="Body123 Char"/>
    <w:basedOn w:val="DefaultParagraphFont"/>
    <w:link w:val="Body123"/>
    <w:uiPriority w:val="99"/>
    <w:rsid w:val="00E375E0"/>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68373A66-DA76-478F-8044-DFC1E9FC4E10}"/>
      </w:docPartPr>
      <w:docPartBody>
        <w:p w:rsidR="00F92D3C" w:rsidRDefault="00F92D3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F92D3C"/>
    <w:rsid w:val="00F92D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2024-03-07T16:30:49+00:00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Props1.xml><?xml version="1.0" encoding="utf-8"?>
<ds:datastoreItem xmlns:ds="http://schemas.openxmlformats.org/officeDocument/2006/customXml" ds:itemID="{34D3A988-3C33-4A15-AA91-E48E99DC0D13}">
  <ds:schemaRefs>
    <ds:schemaRef ds:uri="http://schemas.openxmlformats.org/officeDocument/2006/bibliography"/>
  </ds:schemaRefs>
</ds:datastoreItem>
</file>

<file path=customXml/itemProps2.xml><?xml version="1.0" encoding="utf-8"?>
<ds:datastoreItem xmlns:ds="http://schemas.openxmlformats.org/officeDocument/2006/customXml" ds:itemID="{C0964173-61CC-4644-9DF1-DA4A0C7050E7}">
  <ds:schemaRefs>
    <ds:schemaRef ds:uri="http://schemas.microsoft.com/office/2006/metadata/properties"/>
    <ds:schemaRef ds:uri="http://schemas.microsoft.com/office/infopath/2007/PartnerControls"/>
    <ds:schemaRef ds:uri="11121f80-bc0c-4dfa-9e73-b1ed90df1a0c"/>
    <ds:schemaRef ds:uri="b69832ec-6731-4019-bb1a-4c7393b3bdfd"/>
  </ds:schemaRefs>
</ds:datastoreItem>
</file>

<file path=customXml/itemProps3.xml><?xml version="1.0" encoding="utf-8"?>
<ds:datastoreItem xmlns:ds="http://schemas.openxmlformats.org/officeDocument/2006/customXml" ds:itemID="{654B2A6E-6C7E-466E-99F6-393E01B98716}">
  <ds:schemaRefs>
    <ds:schemaRef ds:uri="http://schemas.microsoft.com/sharepoint/v3/contenttype/forms"/>
  </ds:schemaRefs>
</ds:datastoreItem>
</file>

<file path=customXml/itemProps4.xml><?xml version="1.0" encoding="utf-8"?>
<ds:datastoreItem xmlns:ds="http://schemas.openxmlformats.org/officeDocument/2006/customXml" ds:itemID="{6471D105-48A0-4D1D-A90F-82FFD0DA1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21f80-bc0c-4dfa-9e73-b1ed90df1a0c"/>
    <ds:schemaRef ds:uri="b69832ec-6731-4019-bb1a-4c7393b3b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6480</Words>
  <Characters>36937</Characters>
  <Application>Microsoft Office Word</Application>
  <DocSecurity>0</DocSecurity>
  <Lines>307</Lines>
  <Paragraphs>86</Paragraphs>
  <ScaleCrop>false</ScaleCrop>
  <Company>DLA Piper</Company>
  <LinksUpToDate>false</LinksUpToDate>
  <CharactersWithSpaces>43331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Palphramand, Neil | He/His</cp:lastModifiedBy>
  <cp:revision>56</cp:revision>
  <dcterms:created xsi:type="dcterms:W3CDTF">2024-03-18T13:24:00Z</dcterms:created>
  <dcterms:modified xsi:type="dcterms:W3CDTF">2024-03-18T13:24:00Z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ContentTypeId">
    <vt:lpwstr>0x010100043B4124680359458A5CF91233D47799</vt:lpwstr>
  </property>
  <property fmtid="{D5CDD505-2E9C-101B-9397-08002B2CF9AE}" pid="4" name="ClassificationContentMarkingHeaderShapeIds">
    <vt:lpwstr>1,2,3</vt:lpwstr>
  </property>
  <property fmtid="{D5CDD505-2E9C-101B-9397-08002B2CF9AE}" pid="5" name="ClassificationContentMarkingHeaderFontProps">
    <vt:lpwstr>#000000,12,Calibri</vt:lpwstr>
  </property>
  <property fmtid="{D5CDD505-2E9C-101B-9397-08002B2CF9AE}" pid="6" name="ClassificationContentMarkingHeaderText">
    <vt:lpwstr>OFFICIAL</vt:lpwstr>
  </property>
  <property fmtid="{D5CDD505-2E9C-101B-9397-08002B2CF9AE}" pid="7" name="ClassificationContentMarkingFooterShapeIds">
    <vt:lpwstr>5,6,7</vt:lpwstr>
  </property>
  <property fmtid="{D5CDD505-2E9C-101B-9397-08002B2CF9AE}" pid="8" name="ClassificationContentMarkingFooterFontProps">
    <vt:lpwstr>#000000,12,Calibri</vt:lpwstr>
  </property>
  <property fmtid="{D5CDD505-2E9C-101B-9397-08002B2CF9AE}" pid="9" name="ClassificationContentMarkingFooterText">
    <vt:lpwstr>OFFICIAL</vt:lpwstr>
  </property>
  <property fmtid="{D5CDD505-2E9C-101B-9397-08002B2CF9AE}" pid="10" name="MSIP_Label_eed1d2f5-2977-4ce1-839d-57a403841e1f_Enabled">
    <vt:lpwstr>true</vt:lpwstr>
  </property>
  <property fmtid="{D5CDD505-2E9C-101B-9397-08002B2CF9AE}" pid="11" name="MSIP_Label_eed1d2f5-2977-4ce1-839d-57a403841e1f_SetDate">
    <vt:lpwstr>2024-03-18T13:24:23Z</vt:lpwstr>
  </property>
  <property fmtid="{D5CDD505-2E9C-101B-9397-08002B2CF9AE}" pid="12" name="MSIP_Label_eed1d2f5-2977-4ce1-839d-57a403841e1f_Method">
    <vt:lpwstr>Standard</vt:lpwstr>
  </property>
  <property fmtid="{D5CDD505-2E9C-101B-9397-08002B2CF9AE}" pid="13" name="MSIP_Label_eed1d2f5-2977-4ce1-839d-57a403841e1f_Name">
    <vt:lpwstr>OFFICIAL</vt:lpwstr>
  </property>
  <property fmtid="{D5CDD505-2E9C-101B-9397-08002B2CF9AE}" pid="14" name="MSIP_Label_eed1d2f5-2977-4ce1-839d-57a403841e1f_SiteId">
    <vt:lpwstr>c6874728-71e6-41fe-a9e1-2e8c36776ad8</vt:lpwstr>
  </property>
  <property fmtid="{D5CDD505-2E9C-101B-9397-08002B2CF9AE}" pid="15" name="MSIP_Label_eed1d2f5-2977-4ce1-839d-57a403841e1f_ActionId">
    <vt:lpwstr>5990f46d-1e76-487a-965e-9b5391f6ed47</vt:lpwstr>
  </property>
  <property fmtid="{D5CDD505-2E9C-101B-9397-08002B2CF9AE}" pid="16" name="MSIP_Label_eed1d2f5-2977-4ce1-839d-57a403841e1f_ContentBits">
    <vt:lpwstr>3</vt:lpwstr>
  </property>
  <property fmtid="{D5CDD505-2E9C-101B-9397-08002B2CF9AE}" pid="17" name="MediaServiceImageTags">
    <vt:lpwstr/>
  </property>
</Properties>
</file>